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49A59" w14:textId="36CC0A21" w:rsidR="00232B62" w:rsidRDefault="00232B62" w:rsidP="00232B62">
      <w:pPr>
        <w:tabs>
          <w:tab w:val="center" w:pos="4536"/>
          <w:tab w:val="right" w:pos="8280"/>
          <w:tab w:val="right" w:pos="9639"/>
        </w:tabs>
        <w:ind w:right="2"/>
        <w:rPr>
          <w:rFonts w:ascii="Arial" w:hAnsi="Arial" w:cs="Arial"/>
          <w:b/>
          <w:bCs/>
          <w:sz w:val="28"/>
        </w:rPr>
      </w:pPr>
      <w:r>
        <w:rPr>
          <w:rFonts w:ascii="Arial" w:hAnsi="Arial" w:cs="Arial"/>
          <w:b/>
          <w:bCs/>
          <w:sz w:val="28"/>
        </w:rPr>
        <w:t>3GPP TSG RAN WG1 #98</w:t>
      </w:r>
      <w:r w:rsidR="008973B8">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Pr="00232B62">
        <w:rPr>
          <w:rFonts w:ascii="Arial" w:hAnsi="Arial" w:cs="Arial"/>
          <w:b/>
          <w:bCs/>
          <w:sz w:val="28"/>
        </w:rPr>
        <w:t>R1-</w:t>
      </w:r>
      <w:r w:rsidR="00983029" w:rsidRPr="00232B62">
        <w:rPr>
          <w:rFonts w:ascii="Arial" w:hAnsi="Arial" w:cs="Arial"/>
          <w:b/>
          <w:bCs/>
          <w:sz w:val="28"/>
        </w:rPr>
        <w:t>19</w:t>
      </w:r>
      <w:r w:rsidR="00983029">
        <w:rPr>
          <w:rFonts w:ascii="Arial" w:hAnsi="Arial" w:cs="Arial"/>
          <w:b/>
          <w:bCs/>
          <w:sz w:val="28"/>
        </w:rPr>
        <w:t>1</w:t>
      </w:r>
      <w:r w:rsidR="00390FB3">
        <w:rPr>
          <w:rFonts w:ascii="Arial" w:hAnsi="Arial" w:cs="Arial"/>
          <w:b/>
          <w:bCs/>
          <w:sz w:val="28"/>
        </w:rPr>
        <w:t>1356</w:t>
      </w:r>
    </w:p>
    <w:p w14:paraId="65F22863" w14:textId="73DA87D2" w:rsidR="00232B62" w:rsidRDefault="008973B8" w:rsidP="00232B6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w:t>
      </w:r>
      <w:r w:rsidR="00232B62">
        <w:rPr>
          <w:rFonts w:ascii="Arial" w:eastAsia="MS Mincho" w:hAnsi="Arial" w:cs="Arial"/>
          <w:b/>
          <w:bCs/>
          <w:sz w:val="28"/>
          <w:lang w:eastAsia="ja-JP"/>
        </w:rPr>
        <w:t>, C</w:t>
      </w:r>
      <w:r>
        <w:rPr>
          <w:rFonts w:ascii="Arial" w:eastAsia="MS Mincho" w:hAnsi="Arial" w:cs="Arial"/>
          <w:b/>
          <w:bCs/>
          <w:sz w:val="28"/>
          <w:lang w:eastAsia="ja-JP"/>
        </w:rPr>
        <w:t>hina</w:t>
      </w:r>
      <w:r w:rsidR="00232B62">
        <w:rPr>
          <w:rFonts w:ascii="Arial" w:eastAsia="MS Mincho" w:hAnsi="Arial" w:cs="Arial"/>
          <w:b/>
          <w:bCs/>
          <w:sz w:val="28"/>
          <w:lang w:eastAsia="ja-JP"/>
        </w:rPr>
        <w:t xml:space="preserve">, </w:t>
      </w:r>
      <w:r>
        <w:rPr>
          <w:rFonts w:ascii="Arial" w:eastAsia="MS Mincho" w:hAnsi="Arial" w:cs="Arial"/>
          <w:b/>
          <w:bCs/>
          <w:sz w:val="28"/>
          <w:lang w:eastAsia="ja-JP"/>
        </w:rPr>
        <w:t>October</w:t>
      </w:r>
      <w:r w:rsidR="00232B62">
        <w:rPr>
          <w:rFonts w:ascii="Arial" w:eastAsia="MS Mincho" w:hAnsi="Arial" w:cs="Arial"/>
          <w:b/>
          <w:bCs/>
          <w:sz w:val="28"/>
          <w:lang w:eastAsia="ja-JP"/>
        </w:rPr>
        <w:t xml:space="preserve"> </w:t>
      </w:r>
      <w:r>
        <w:rPr>
          <w:rFonts w:ascii="Arial" w:eastAsia="MS Mincho" w:hAnsi="Arial" w:cs="Arial"/>
          <w:b/>
          <w:bCs/>
          <w:sz w:val="28"/>
          <w:lang w:eastAsia="ja-JP"/>
        </w:rPr>
        <w:t>14</w:t>
      </w:r>
      <w:r w:rsidR="00232B62">
        <w:rPr>
          <w:rFonts w:ascii="Arial" w:eastAsia="MS Mincho" w:hAnsi="Arial" w:cs="Arial"/>
          <w:b/>
          <w:bCs/>
          <w:sz w:val="28"/>
          <w:vertAlign w:val="superscript"/>
          <w:lang w:eastAsia="ja-JP"/>
        </w:rPr>
        <w:t>th</w:t>
      </w:r>
      <w:r w:rsidR="00232B62">
        <w:rPr>
          <w:rFonts w:ascii="Arial" w:eastAsia="MS Mincho" w:hAnsi="Arial" w:cs="Arial"/>
          <w:b/>
          <w:bCs/>
          <w:sz w:val="28"/>
          <w:lang w:eastAsia="ja-JP"/>
        </w:rPr>
        <w:t xml:space="preserve"> – </w:t>
      </w:r>
      <w:r>
        <w:rPr>
          <w:rFonts w:ascii="Arial" w:eastAsia="MS Mincho" w:hAnsi="Arial" w:cs="Arial"/>
          <w:b/>
          <w:bCs/>
          <w:sz w:val="28"/>
          <w:lang w:eastAsia="ja-JP"/>
        </w:rPr>
        <w:t>2</w:t>
      </w:r>
      <w:r w:rsidR="00232B62">
        <w:rPr>
          <w:rFonts w:ascii="Arial" w:eastAsia="MS Mincho" w:hAnsi="Arial" w:cs="Arial"/>
          <w:b/>
          <w:bCs/>
          <w:sz w:val="28"/>
          <w:lang w:eastAsia="ja-JP"/>
        </w:rPr>
        <w:t>0</w:t>
      </w:r>
      <w:r w:rsidR="00232B62">
        <w:rPr>
          <w:rFonts w:ascii="Arial" w:eastAsia="MS Mincho" w:hAnsi="Arial" w:cs="Arial"/>
          <w:b/>
          <w:bCs/>
          <w:sz w:val="28"/>
          <w:vertAlign w:val="superscript"/>
          <w:lang w:eastAsia="ja-JP"/>
        </w:rPr>
        <w:t>th</w:t>
      </w:r>
      <w:r w:rsidR="00232B62">
        <w:rPr>
          <w:rFonts w:ascii="Arial" w:eastAsia="MS Mincho" w:hAnsi="Arial" w:cs="Arial"/>
          <w:b/>
          <w:bCs/>
          <w:sz w:val="28"/>
          <w:lang w:eastAsia="ja-JP"/>
        </w:rPr>
        <w:t>, 2019</w:t>
      </w:r>
    </w:p>
    <w:p w14:paraId="75629B43" w14:textId="77777777" w:rsidR="00A57949" w:rsidRPr="000A64D8" w:rsidRDefault="00A57949" w:rsidP="00A57949">
      <w:pPr>
        <w:pStyle w:val="Footer"/>
        <w:jc w:val="both"/>
        <w:rPr>
          <w:noProof w:val="0"/>
        </w:rPr>
      </w:pPr>
    </w:p>
    <w:p w14:paraId="62EB54AC" w14:textId="77777777" w:rsidR="00A57949" w:rsidRPr="000A64D8" w:rsidRDefault="00A57949" w:rsidP="00A5794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6.2.1.9</w:t>
      </w:r>
    </w:p>
    <w:p w14:paraId="791C23B9" w14:textId="77777777" w:rsidR="00A57949" w:rsidRPr="000A64D8" w:rsidRDefault="00A57949" w:rsidP="00A5794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79356DC" w14:textId="77777777" w:rsidR="00A57949" w:rsidRPr="003570F9" w:rsidRDefault="00A57949" w:rsidP="00A5794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57949">
        <w:rPr>
          <w:rFonts w:ascii="Arial" w:hAnsi="Arial"/>
          <w:sz w:val="22"/>
        </w:rPr>
        <w:t>Measurements based on RSS</w:t>
      </w:r>
    </w:p>
    <w:p w14:paraId="7A780A10" w14:textId="09B2835F" w:rsidR="00A57949" w:rsidRDefault="00A57949" w:rsidP="00A5794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0669394" w14:textId="77777777" w:rsidR="004D30E5" w:rsidRDefault="004D30E5" w:rsidP="00A57949">
      <w:pPr>
        <w:ind w:left="1988" w:hanging="1988"/>
        <w:jc w:val="both"/>
        <w:rPr>
          <w:rFonts w:ascii="Arial" w:hAnsi="Arial"/>
          <w:sz w:val="24"/>
        </w:rPr>
      </w:pPr>
    </w:p>
    <w:p w14:paraId="6A270757" w14:textId="77777777" w:rsidR="00A57949" w:rsidRDefault="00A57949" w:rsidP="00A57949">
      <w:pPr>
        <w:pStyle w:val="Heading1"/>
      </w:pPr>
      <w:r w:rsidRPr="00183CB7">
        <w:t>Introduction</w:t>
      </w:r>
    </w:p>
    <w:p w14:paraId="537E0654" w14:textId="26B7D717" w:rsidR="003A6C3E" w:rsidRPr="003A6C3E" w:rsidRDefault="00A35478" w:rsidP="003A6C3E">
      <w:pPr>
        <w:rPr>
          <w:lang w:val="en-GB"/>
        </w:rPr>
      </w:pPr>
      <w:r>
        <w:rPr>
          <w:lang w:val="en-GB"/>
        </w:rPr>
        <w:t>The Rel</w:t>
      </w:r>
      <w:r w:rsidR="00FF5D5E">
        <w:rPr>
          <w:lang w:val="en-GB"/>
        </w:rPr>
        <w:t>-</w:t>
      </w:r>
      <w:r>
        <w:rPr>
          <w:lang w:val="en-GB"/>
        </w:rPr>
        <w:t xml:space="preserve">16 WID on using RSS for cell measurements </w:t>
      </w:r>
      <w:r w:rsidR="00360D18">
        <w:rPr>
          <w:lang w:val="en-GB"/>
        </w:rPr>
        <w:t>has the following objective</w:t>
      </w:r>
      <w:r w:rsidR="003A6C3E" w:rsidRPr="003A6C3E">
        <w:rPr>
          <w:lang w:val="en-GB"/>
        </w:rPr>
        <w:t>:</w:t>
      </w:r>
    </w:p>
    <w:p w14:paraId="24C5AC5F" w14:textId="77777777" w:rsidR="003A6C3E" w:rsidRPr="003A6C3E" w:rsidRDefault="003A6C3E" w:rsidP="003A6C3E">
      <w:pPr>
        <w:rPr>
          <w:lang w:val="en-GB"/>
        </w:rPr>
      </w:pPr>
      <w:r w:rsidRPr="003A6C3E">
        <w:rPr>
          <w:lang w:val="en-GB"/>
        </w:rPr>
        <w:t>Mobility Enhancement:</w:t>
      </w:r>
    </w:p>
    <w:p w14:paraId="4E726E03" w14:textId="391B99BE" w:rsidR="003A6C3E" w:rsidRPr="000611E5" w:rsidRDefault="003A6C3E" w:rsidP="000611E5">
      <w:pPr>
        <w:pStyle w:val="ListParagraph"/>
        <w:numPr>
          <w:ilvl w:val="0"/>
          <w:numId w:val="12"/>
        </w:numPr>
        <w:rPr>
          <w:rFonts w:ascii="Times New Roman" w:eastAsia="SimSun" w:hAnsi="Times New Roman"/>
          <w:sz w:val="20"/>
          <w:szCs w:val="20"/>
          <w:lang w:val="en-GB"/>
        </w:rPr>
      </w:pPr>
      <w:r w:rsidRPr="000611E5">
        <w:rPr>
          <w:rFonts w:ascii="Times New Roman" w:eastAsia="SimSun" w:hAnsi="Times New Roman"/>
          <w:sz w:val="20"/>
          <w:szCs w:val="20"/>
          <w:lang w:val="en-GB"/>
        </w:rPr>
        <w:t>Consider improving the DL RSRP and, if needed, RSRQ measurement accuracy, through use of RSS [RAN1, RAN4, RAN2]</w:t>
      </w:r>
    </w:p>
    <w:p w14:paraId="72E5E995" w14:textId="77777777" w:rsidR="000611E5" w:rsidRPr="000611E5" w:rsidRDefault="000611E5" w:rsidP="000611E5">
      <w:pPr>
        <w:pStyle w:val="ListParagraph"/>
        <w:rPr>
          <w:lang w:val="en-GB"/>
        </w:rPr>
      </w:pPr>
    </w:p>
    <w:p w14:paraId="462AAEAB" w14:textId="3A75857D" w:rsidR="00B46A20" w:rsidRDefault="00B46A20" w:rsidP="003A6C3E">
      <w:pPr>
        <w:rPr>
          <w:lang w:val="en-GB"/>
        </w:rPr>
      </w:pPr>
      <w:r>
        <w:rPr>
          <w:lang w:val="en-GB"/>
        </w:rPr>
        <w:t>In RAN1#9</w:t>
      </w:r>
      <w:r w:rsidR="000611E5">
        <w:rPr>
          <w:lang w:val="en-GB"/>
        </w:rPr>
        <w:t>8</w:t>
      </w:r>
      <w:r>
        <w:rPr>
          <w:lang w:val="en-GB"/>
        </w:rPr>
        <w:t>, the following agreements</w:t>
      </w:r>
      <w:r w:rsidR="00232B62">
        <w:rPr>
          <w:lang w:val="en-GB"/>
        </w:rPr>
        <w:t xml:space="preserve"> </w:t>
      </w:r>
      <w:r>
        <w:rPr>
          <w:lang w:val="en-GB"/>
        </w:rPr>
        <w:t>were made:</w:t>
      </w:r>
    </w:p>
    <w:p w14:paraId="27A00ADE" w14:textId="77777777" w:rsidR="000611E5" w:rsidRPr="00F377A9" w:rsidRDefault="000611E5" w:rsidP="000611E5">
      <w:pPr>
        <w:rPr>
          <w:b/>
          <w:highlight w:val="green"/>
        </w:rPr>
      </w:pPr>
      <w:r w:rsidRPr="00F377A9">
        <w:rPr>
          <w:b/>
          <w:highlight w:val="green"/>
        </w:rPr>
        <w:t>Agreement</w:t>
      </w:r>
    </w:p>
    <w:p w14:paraId="41CDC1C3" w14:textId="77777777" w:rsidR="000611E5" w:rsidRPr="003A0DD7" w:rsidRDefault="000611E5" w:rsidP="000611E5">
      <w:pPr>
        <w:rPr>
          <w:bCs/>
        </w:rPr>
      </w:pPr>
      <w:r w:rsidRPr="003A0DD7">
        <w:rPr>
          <w:bCs/>
        </w:rPr>
        <w:t>Confirm the following working assumption:</w:t>
      </w:r>
    </w:p>
    <w:p w14:paraId="0D8F2AE3" w14:textId="77777777" w:rsidR="000611E5" w:rsidRPr="003A0DD7" w:rsidRDefault="000611E5" w:rsidP="000611E5">
      <w:pPr>
        <w:pStyle w:val="ListParagraph"/>
        <w:numPr>
          <w:ilvl w:val="0"/>
          <w:numId w:val="10"/>
        </w:numPr>
        <w:contextualSpacing/>
        <w:rPr>
          <w:bCs/>
          <w:szCs w:val="18"/>
        </w:rPr>
      </w:pPr>
      <w:r w:rsidRPr="000611E5">
        <w:rPr>
          <w:rFonts w:ascii="Times New Roman" w:eastAsia="SimSun" w:hAnsi="Times New Roman"/>
          <w:bCs/>
          <w:sz w:val="20"/>
          <w:szCs w:val="20"/>
        </w:rPr>
        <w:t>Restrict the RSS locations by reducing the number of possible RSS locations</w:t>
      </w:r>
    </w:p>
    <w:p w14:paraId="486D0029" w14:textId="77777777" w:rsidR="000611E5" w:rsidRDefault="000611E5" w:rsidP="000611E5"/>
    <w:p w14:paraId="18ABF97E" w14:textId="77777777" w:rsidR="000611E5" w:rsidRPr="00D94183" w:rsidRDefault="000611E5" w:rsidP="000611E5">
      <w:pPr>
        <w:rPr>
          <w:b/>
          <w:szCs w:val="18"/>
          <w:highlight w:val="green"/>
        </w:rPr>
      </w:pPr>
      <w:r w:rsidRPr="00D94183">
        <w:rPr>
          <w:b/>
          <w:szCs w:val="18"/>
          <w:highlight w:val="green"/>
        </w:rPr>
        <w:t>Agreement</w:t>
      </w:r>
    </w:p>
    <w:p w14:paraId="188F0D06" w14:textId="77777777" w:rsidR="000611E5" w:rsidRPr="00F016EB" w:rsidRDefault="000611E5" w:rsidP="000611E5">
      <w:pPr>
        <w:rPr>
          <w:bCs/>
          <w:szCs w:val="18"/>
        </w:rPr>
      </w:pPr>
      <w:r w:rsidRPr="00F016EB">
        <w:rPr>
          <w:bCs/>
          <w:szCs w:val="18"/>
        </w:rPr>
        <w:t>Methods to restrict the RSS locations:</w:t>
      </w:r>
    </w:p>
    <w:p w14:paraId="42F36623" w14:textId="77777777" w:rsidR="000611E5" w:rsidRPr="000611E5" w:rsidRDefault="000611E5" w:rsidP="000611E5">
      <w:pPr>
        <w:pStyle w:val="ListParagraph"/>
        <w:numPr>
          <w:ilvl w:val="0"/>
          <w:numId w:val="10"/>
        </w:numPr>
        <w:contextualSpacing/>
        <w:rPr>
          <w:rFonts w:ascii="Times New Roman" w:eastAsia="SimSun" w:hAnsi="Times New Roman"/>
          <w:bCs/>
          <w:sz w:val="20"/>
          <w:szCs w:val="20"/>
        </w:rPr>
      </w:pPr>
      <w:r w:rsidRPr="000611E5">
        <w:rPr>
          <w:rFonts w:ascii="Times New Roman" w:eastAsia="SimSun" w:hAnsi="Times New Roman"/>
          <w:bCs/>
          <w:sz w:val="20"/>
          <w:szCs w:val="20"/>
        </w:rPr>
        <w:t>The RSS time offset(s) &amp; RSS frequency location(s) are a function of Cell ID</w:t>
      </w:r>
    </w:p>
    <w:p w14:paraId="0EA22715" w14:textId="77777777" w:rsidR="000611E5" w:rsidRPr="000611E5" w:rsidRDefault="000611E5" w:rsidP="000611E5">
      <w:pPr>
        <w:pStyle w:val="ListParagraph"/>
        <w:numPr>
          <w:ilvl w:val="1"/>
          <w:numId w:val="10"/>
        </w:numPr>
        <w:contextualSpacing/>
        <w:rPr>
          <w:rFonts w:ascii="Times New Roman" w:eastAsia="SimSun" w:hAnsi="Times New Roman"/>
          <w:bCs/>
          <w:sz w:val="20"/>
          <w:szCs w:val="20"/>
        </w:rPr>
      </w:pPr>
      <w:r w:rsidRPr="000611E5">
        <w:rPr>
          <w:rFonts w:ascii="Times New Roman" w:eastAsia="SimSun" w:hAnsi="Times New Roman"/>
          <w:bCs/>
          <w:sz w:val="20"/>
          <w:szCs w:val="20"/>
        </w:rPr>
        <w:t>The Cell ID function is FFS</w:t>
      </w:r>
    </w:p>
    <w:p w14:paraId="7DC20659" w14:textId="77777777" w:rsidR="000611E5" w:rsidRDefault="000611E5" w:rsidP="000611E5"/>
    <w:p w14:paraId="177A8D9A" w14:textId="77777777" w:rsidR="000611E5" w:rsidRPr="001E5C94" w:rsidRDefault="000611E5" w:rsidP="000611E5">
      <w:pPr>
        <w:rPr>
          <w:b/>
          <w:bCs/>
        </w:rPr>
      </w:pPr>
      <w:r w:rsidRPr="001E5C94">
        <w:rPr>
          <w:b/>
          <w:bCs/>
        </w:rPr>
        <w:t>For further study:</w:t>
      </w:r>
    </w:p>
    <w:p w14:paraId="53971DCB" w14:textId="77777777" w:rsidR="000611E5" w:rsidRPr="001E5C94" w:rsidRDefault="000611E5" w:rsidP="000611E5">
      <w:pPr>
        <w:numPr>
          <w:ilvl w:val="0"/>
          <w:numId w:val="11"/>
        </w:numPr>
        <w:overflowPunct/>
        <w:autoSpaceDE/>
        <w:autoSpaceDN/>
        <w:adjustRightInd/>
        <w:spacing w:after="0"/>
        <w:textAlignment w:val="auto"/>
        <w:rPr>
          <w:bCs/>
        </w:rPr>
      </w:pPr>
      <w:r w:rsidRPr="001E5C94">
        <w:rPr>
          <w:bCs/>
        </w:rPr>
        <w:t>Consider reducing the overhead in signaling the number of CRS ports of the neighbours in using neighbour cells’ RSS for measurement improvements.</w:t>
      </w:r>
    </w:p>
    <w:p w14:paraId="675ECE35" w14:textId="77777777" w:rsidR="000611E5" w:rsidRPr="001E5C94" w:rsidRDefault="000611E5" w:rsidP="000611E5">
      <w:pPr>
        <w:numPr>
          <w:ilvl w:val="0"/>
          <w:numId w:val="11"/>
        </w:numPr>
        <w:overflowPunct/>
        <w:autoSpaceDE/>
        <w:autoSpaceDN/>
        <w:adjustRightInd/>
        <w:spacing w:after="0"/>
        <w:textAlignment w:val="auto"/>
        <w:rPr>
          <w:bCs/>
        </w:rPr>
      </w:pPr>
      <w:r w:rsidRPr="001E5C94">
        <w:rPr>
          <w:bCs/>
        </w:rPr>
        <w:t>Consider ways to provide RSS parameters for UE detected neighbour cells.</w:t>
      </w:r>
    </w:p>
    <w:p w14:paraId="5B847A6B" w14:textId="77777777" w:rsidR="00232B62" w:rsidRDefault="00232B62" w:rsidP="00232B62"/>
    <w:p w14:paraId="4F7F07EF" w14:textId="2B657B02" w:rsidR="00B46A20" w:rsidRPr="000611E5" w:rsidRDefault="000611E5" w:rsidP="003A6C3E">
      <w:pPr>
        <w:rPr>
          <w:lang w:val="en-GB"/>
        </w:rPr>
      </w:pPr>
      <w:r w:rsidRPr="003A6C3E">
        <w:rPr>
          <w:lang w:val="en-GB"/>
        </w:rPr>
        <w:t xml:space="preserve">In this contribution, we </w:t>
      </w:r>
      <w:r>
        <w:rPr>
          <w:lang w:val="en-GB"/>
        </w:rPr>
        <w:t xml:space="preserve">continue discuss the remaining issues for </w:t>
      </w:r>
      <w:r w:rsidR="00264A74">
        <w:rPr>
          <w:lang w:val="en-GB"/>
        </w:rPr>
        <w:t>using RSS for neighbouring cell measurement</w:t>
      </w:r>
      <w:r w:rsidRPr="003A6C3E">
        <w:rPr>
          <w:lang w:val="en-GB"/>
        </w:rPr>
        <w:t>.</w:t>
      </w:r>
    </w:p>
    <w:p w14:paraId="2DECD2BE" w14:textId="6405546A" w:rsidR="00A57949" w:rsidRDefault="00250FA3" w:rsidP="00A57949">
      <w:pPr>
        <w:pStyle w:val="Heading1"/>
      </w:pPr>
      <w:r>
        <w:t>N</w:t>
      </w:r>
      <w:r w:rsidR="00827D2D">
        <w:t xml:space="preserve">eighbour cell RSS </w:t>
      </w:r>
      <w:r w:rsidR="00074EB3">
        <w:t xml:space="preserve">location </w:t>
      </w:r>
      <w:r w:rsidR="00827D2D">
        <w:t>information</w:t>
      </w:r>
    </w:p>
    <w:p w14:paraId="1473CB93" w14:textId="31EBE981" w:rsidR="00FA40A3" w:rsidRDefault="00100A94" w:rsidP="00827D2D">
      <w:pPr>
        <w:rPr>
          <w:lang w:val="en-GB"/>
        </w:rPr>
      </w:pPr>
      <w:r>
        <w:rPr>
          <w:lang w:val="en-GB"/>
        </w:rPr>
        <w:t xml:space="preserve">From a signalling perspective, the two most significant contributors to the RSS neighbour cell </w:t>
      </w:r>
      <w:r w:rsidR="00367C6C">
        <w:rPr>
          <w:lang w:val="en-GB"/>
        </w:rPr>
        <w:t>information are the time offset (</w:t>
      </w:r>
      <w:r w:rsidR="00044503" w:rsidRPr="00064729">
        <w:rPr>
          <w:i/>
          <w:lang w:val="en-GB"/>
        </w:rPr>
        <w:t>ce-rss-timeOffset-config</w:t>
      </w:r>
      <w:r w:rsidR="00367C6C">
        <w:rPr>
          <w:lang w:val="en-GB"/>
        </w:rPr>
        <w:t>)</w:t>
      </w:r>
      <w:r w:rsidR="00044503">
        <w:rPr>
          <w:lang w:val="en-GB"/>
        </w:rPr>
        <w:t xml:space="preserve">—requiring 5 bits, and the </w:t>
      </w:r>
      <w:r w:rsidR="00847738">
        <w:rPr>
          <w:lang w:val="en-GB"/>
        </w:rPr>
        <w:t>frequency location (</w:t>
      </w:r>
      <w:r w:rsidR="00064729" w:rsidRPr="00064729">
        <w:rPr>
          <w:i/>
          <w:lang w:eastAsia="ja-JP"/>
        </w:rPr>
        <w:t>ce-rss-freqPos-config</w:t>
      </w:r>
      <w:r w:rsidR="00847738">
        <w:rPr>
          <w:lang w:val="en-GB"/>
        </w:rPr>
        <w:t>)</w:t>
      </w:r>
      <w:r w:rsidR="00064729">
        <w:rPr>
          <w:lang w:val="en-GB"/>
        </w:rPr>
        <w:t>—requiring 7 bits.</w:t>
      </w:r>
      <w:r w:rsidR="00044503">
        <w:rPr>
          <w:lang w:val="en-GB"/>
        </w:rPr>
        <w:t xml:space="preserve"> </w:t>
      </w:r>
      <w:r w:rsidR="00FA40A3">
        <w:rPr>
          <w:lang w:val="en-GB"/>
        </w:rPr>
        <w:t>In reducing the signalling overhead of RSS neighbour cell’s parameter, the possible RSS locations</w:t>
      </w:r>
      <w:r w:rsidR="006E02BE">
        <w:rPr>
          <w:lang w:val="en-GB"/>
        </w:rPr>
        <w:t xml:space="preserve"> can be restricted</w:t>
      </w:r>
      <w:r w:rsidR="00FA40A3">
        <w:rPr>
          <w:lang w:val="en-GB"/>
        </w:rPr>
        <w:t xml:space="preserve">. </w:t>
      </w:r>
      <w:r w:rsidR="00E42A57">
        <w:rPr>
          <w:lang w:val="en-GB"/>
        </w:rPr>
        <w:t>According to agreement in last meeting</w:t>
      </w:r>
      <w:r w:rsidR="00FA40A3">
        <w:rPr>
          <w:lang w:val="en-GB"/>
        </w:rPr>
        <w:t xml:space="preserve">, the RSS time and frequency location is a function of cell ID for restricting the possible RSS locations. </w:t>
      </w:r>
      <w:r w:rsidR="0074630E">
        <w:rPr>
          <w:lang w:val="en-GB"/>
        </w:rPr>
        <w:t>The details of how this c</w:t>
      </w:r>
      <w:r w:rsidR="00970D4B">
        <w:rPr>
          <w:lang w:val="en-GB"/>
        </w:rPr>
        <w:t>ell ID function</w:t>
      </w:r>
      <w:r w:rsidR="0074630E">
        <w:rPr>
          <w:lang w:val="en-GB"/>
        </w:rPr>
        <w:t xml:space="preserve"> is still FFS for which </w:t>
      </w:r>
      <w:r w:rsidR="00970D4B">
        <w:rPr>
          <w:lang w:val="en-GB"/>
        </w:rPr>
        <w:t>at least the following two options can be considered.</w:t>
      </w:r>
    </w:p>
    <w:p w14:paraId="5492D906" w14:textId="09451761" w:rsidR="00AA3A1F" w:rsidRPr="00C14358" w:rsidRDefault="00970D4B" w:rsidP="00C14358">
      <w:pPr>
        <w:pStyle w:val="ListParagraph"/>
        <w:numPr>
          <w:ilvl w:val="0"/>
          <w:numId w:val="16"/>
        </w:numPr>
        <w:ind w:left="360"/>
        <w:rPr>
          <w:rFonts w:ascii="Times New Roman" w:eastAsia="SimSun" w:hAnsi="Times New Roman"/>
          <w:bCs/>
          <w:sz w:val="20"/>
          <w:szCs w:val="20"/>
        </w:rPr>
      </w:pPr>
      <w:r w:rsidRPr="00C14358">
        <w:rPr>
          <w:rFonts w:ascii="Times New Roman" w:eastAsia="SimSun" w:hAnsi="Times New Roman"/>
          <w:bCs/>
          <w:sz w:val="20"/>
          <w:szCs w:val="20"/>
        </w:rPr>
        <w:lastRenderedPageBreak/>
        <w:t>Option 1</w:t>
      </w:r>
      <w:r w:rsidR="000511DC">
        <w:rPr>
          <w:rFonts w:ascii="Times New Roman" w:eastAsia="SimSun" w:hAnsi="Times New Roman"/>
          <w:bCs/>
          <w:sz w:val="20"/>
          <w:szCs w:val="20"/>
        </w:rPr>
        <w:t>:</w:t>
      </w:r>
      <w:r w:rsidRPr="00C14358">
        <w:rPr>
          <w:rFonts w:ascii="Times New Roman" w:eastAsia="SimSun" w:hAnsi="Times New Roman"/>
          <w:bCs/>
          <w:sz w:val="20"/>
          <w:szCs w:val="20"/>
        </w:rPr>
        <w:t xml:space="preserve"> </w:t>
      </w:r>
      <w:r w:rsidR="000511DC">
        <w:rPr>
          <w:rFonts w:ascii="Times New Roman" w:eastAsia="SimSun" w:hAnsi="Times New Roman"/>
          <w:bCs/>
          <w:sz w:val="20"/>
          <w:szCs w:val="20"/>
        </w:rPr>
        <w:t>T</w:t>
      </w:r>
      <w:r w:rsidRPr="00C14358">
        <w:rPr>
          <w:rFonts w:ascii="Times New Roman" w:eastAsia="SimSun" w:hAnsi="Times New Roman"/>
          <w:bCs/>
          <w:sz w:val="20"/>
          <w:szCs w:val="20"/>
        </w:rPr>
        <w:t xml:space="preserve">he RSS time and frequency location are only determined by the cell ID without any </w:t>
      </w:r>
      <w:r w:rsidR="000511DC">
        <w:rPr>
          <w:rFonts w:ascii="Times New Roman" w:eastAsia="SimSun" w:hAnsi="Times New Roman"/>
          <w:bCs/>
          <w:sz w:val="20"/>
          <w:szCs w:val="20"/>
        </w:rPr>
        <w:t xml:space="preserve">additional </w:t>
      </w:r>
      <w:r w:rsidRPr="00C14358">
        <w:rPr>
          <w:rFonts w:ascii="Times New Roman" w:eastAsia="SimSun" w:hAnsi="Times New Roman"/>
          <w:bCs/>
          <w:sz w:val="20"/>
          <w:szCs w:val="20"/>
        </w:rPr>
        <w:t xml:space="preserve">signalling. </w:t>
      </w:r>
    </w:p>
    <w:p w14:paraId="151287F1" w14:textId="77777777" w:rsidR="00C14358" w:rsidRPr="00C14358" w:rsidRDefault="00C14358" w:rsidP="00C14358">
      <w:pPr>
        <w:pStyle w:val="ListParagraph"/>
        <w:rPr>
          <w:lang w:val="en-GB"/>
        </w:rPr>
      </w:pPr>
    </w:p>
    <w:p w14:paraId="48B87CAB" w14:textId="782F830F" w:rsidR="00C14358" w:rsidRDefault="00970D4B" w:rsidP="00C14358">
      <w:pPr>
        <w:rPr>
          <w:rFonts w:eastAsia="Times New Roman"/>
        </w:rPr>
      </w:pPr>
      <w:r>
        <w:rPr>
          <w:lang w:val="en-GB"/>
        </w:rPr>
        <w:t xml:space="preserve">For example, the starting PRB for the RSS frequency location is determined by “cell ID mod 99” and the RSS time offset is then given by “cell ID mod 32” or “floor(cell ID / 99) mod 32”. </w:t>
      </w:r>
    </w:p>
    <w:p w14:paraId="0A19F266" w14:textId="64D73C9B" w:rsidR="00AA3A1F" w:rsidRDefault="00AA3A1F" w:rsidP="00C14358">
      <w:pPr>
        <w:pStyle w:val="ListParagraph"/>
        <w:numPr>
          <w:ilvl w:val="0"/>
          <w:numId w:val="16"/>
        </w:numPr>
        <w:ind w:left="360"/>
        <w:rPr>
          <w:rFonts w:ascii="Times New Roman" w:eastAsia="SimSun" w:hAnsi="Times New Roman"/>
          <w:bCs/>
          <w:sz w:val="20"/>
          <w:szCs w:val="20"/>
        </w:rPr>
      </w:pPr>
      <w:r w:rsidRPr="00C14358">
        <w:rPr>
          <w:rFonts w:ascii="Times New Roman" w:eastAsia="SimSun" w:hAnsi="Times New Roman"/>
          <w:bCs/>
          <w:sz w:val="20"/>
          <w:szCs w:val="20"/>
        </w:rPr>
        <w:t>Option 2</w:t>
      </w:r>
      <w:r w:rsidR="000511DC">
        <w:rPr>
          <w:rFonts w:ascii="Times New Roman" w:eastAsia="SimSun" w:hAnsi="Times New Roman"/>
          <w:bCs/>
          <w:sz w:val="20"/>
          <w:szCs w:val="20"/>
        </w:rPr>
        <w:t>:</w:t>
      </w:r>
      <w:r w:rsidRPr="00C14358">
        <w:rPr>
          <w:rFonts w:ascii="Times New Roman" w:eastAsia="SimSun" w:hAnsi="Times New Roman"/>
          <w:bCs/>
          <w:sz w:val="20"/>
          <w:szCs w:val="20"/>
        </w:rPr>
        <w:t xml:space="preserve"> </w:t>
      </w:r>
      <w:r w:rsidR="000511DC">
        <w:rPr>
          <w:rFonts w:ascii="Times New Roman" w:eastAsia="SimSun" w:hAnsi="Times New Roman"/>
          <w:bCs/>
          <w:sz w:val="20"/>
          <w:szCs w:val="20"/>
        </w:rPr>
        <w:t>T</w:t>
      </w:r>
      <w:r w:rsidRPr="00C14358">
        <w:rPr>
          <w:rFonts w:ascii="Times New Roman" w:eastAsia="SimSun" w:hAnsi="Times New Roman"/>
          <w:bCs/>
          <w:sz w:val="20"/>
          <w:szCs w:val="20"/>
        </w:rPr>
        <w:t xml:space="preserve">he RSS time and frequency location are  determined by the cell ID with </w:t>
      </w:r>
      <w:r w:rsidR="008070E5">
        <w:rPr>
          <w:rFonts w:ascii="Times New Roman" w:eastAsia="SimSun" w:hAnsi="Times New Roman"/>
          <w:bCs/>
          <w:sz w:val="20"/>
          <w:szCs w:val="20"/>
        </w:rPr>
        <w:t xml:space="preserve">some </w:t>
      </w:r>
      <w:r w:rsidR="000511DC">
        <w:rPr>
          <w:rFonts w:ascii="Times New Roman" w:eastAsia="SimSun" w:hAnsi="Times New Roman"/>
          <w:bCs/>
          <w:sz w:val="20"/>
          <w:szCs w:val="20"/>
        </w:rPr>
        <w:t xml:space="preserve">additional </w:t>
      </w:r>
      <w:r w:rsidR="008070E5">
        <w:rPr>
          <w:rFonts w:ascii="Times New Roman" w:eastAsia="SimSun" w:hAnsi="Times New Roman"/>
          <w:bCs/>
          <w:sz w:val="20"/>
          <w:szCs w:val="20"/>
        </w:rPr>
        <w:t>scheduling flexibility</w:t>
      </w:r>
      <w:r w:rsidRPr="00C14358">
        <w:rPr>
          <w:rFonts w:ascii="Times New Roman" w:eastAsia="SimSun" w:hAnsi="Times New Roman"/>
          <w:bCs/>
          <w:sz w:val="20"/>
          <w:szCs w:val="20"/>
        </w:rPr>
        <w:t xml:space="preserve">. </w:t>
      </w:r>
    </w:p>
    <w:p w14:paraId="3A3C3D9F" w14:textId="77777777" w:rsidR="00C14358" w:rsidRPr="00C14358" w:rsidRDefault="00C14358" w:rsidP="00C14358">
      <w:pPr>
        <w:pStyle w:val="ListParagraph"/>
        <w:rPr>
          <w:rFonts w:ascii="Times New Roman" w:eastAsia="SimSun" w:hAnsi="Times New Roman"/>
          <w:bCs/>
          <w:sz w:val="20"/>
          <w:szCs w:val="20"/>
        </w:rPr>
      </w:pPr>
    </w:p>
    <w:p w14:paraId="2464CC0F" w14:textId="4D18AEC8" w:rsidR="002F5436" w:rsidRDefault="006405F4" w:rsidP="00C14358">
      <w:pPr>
        <w:rPr>
          <w:lang w:val="en-GB"/>
        </w:rPr>
      </w:pPr>
      <w:r>
        <w:rPr>
          <w:lang w:val="en-GB"/>
        </w:rPr>
        <w:t>Completely restricting the RSS locations in time and/or frequency based on the Cell-ID may pose some scheduling limitations at the base station.</w:t>
      </w:r>
      <w:r w:rsidR="00574113">
        <w:rPr>
          <w:lang w:val="en-GB"/>
        </w:rPr>
        <w:t xml:space="preserve"> To that end,</w:t>
      </w:r>
      <w:r w:rsidR="0074630E">
        <w:rPr>
          <w:lang w:val="en-GB"/>
        </w:rPr>
        <w:t xml:space="preserve">.one other option would be to have start-rb-RSS to be </w:t>
      </w:r>
      <w:r w:rsidR="00574113">
        <w:rPr>
          <w:lang w:val="en-GB"/>
        </w:rPr>
        <w:t xml:space="preserve">in </w:t>
      </w:r>
      <w:r w:rsidR="0074630E">
        <w:rPr>
          <w:lang w:val="en-GB"/>
        </w:rPr>
        <w:t>a range “(cell ID mod 99)</w:t>
      </w:r>
      <w:r w:rsidR="0074630E" w:rsidRPr="0074630E">
        <w:rPr>
          <w:rFonts w:eastAsia="Times New Roman"/>
        </w:rPr>
        <w:t xml:space="preserve"> </w:t>
      </w:r>
      <w:r w:rsidR="0074630E" w:rsidRPr="0074630E">
        <w:rPr>
          <w:lang w:val="en-GB"/>
        </w:rPr>
        <w:t xml:space="preserve">+/- </w:t>
      </w:r>
      <w:r w:rsidR="0074630E">
        <w:rPr>
          <w:rFonts w:eastAsia="Times New Roman"/>
        </w:rPr>
        <w:t>delta</w:t>
      </w:r>
      <w:r w:rsidR="002F5436">
        <w:rPr>
          <w:rFonts w:eastAsia="Times New Roman"/>
        </w:rPr>
        <w:t>_freq-offset</w:t>
      </w:r>
      <w:r w:rsidR="0074630E">
        <w:rPr>
          <w:rFonts w:eastAsia="Times New Roman"/>
        </w:rPr>
        <w:t>” where the delta</w:t>
      </w:r>
      <w:r w:rsidR="002F5436">
        <w:rPr>
          <w:rFonts w:eastAsia="Times New Roman"/>
        </w:rPr>
        <w:t>_freq-offset</w:t>
      </w:r>
      <w:r w:rsidR="0074630E">
        <w:rPr>
          <w:rFonts w:eastAsia="Times New Roman"/>
        </w:rPr>
        <w:t xml:space="preserve"> may be a </w:t>
      </w:r>
      <w:r w:rsidR="002F5436">
        <w:rPr>
          <w:rFonts w:eastAsia="Times New Roman"/>
        </w:rPr>
        <w:t>2- or 3-bits</w:t>
      </w:r>
      <w:r w:rsidR="0074630E">
        <w:rPr>
          <w:rFonts w:eastAsia="Times New Roman"/>
        </w:rPr>
        <w:t xml:space="preserve"> value. </w:t>
      </w:r>
      <w:r w:rsidR="002F5436">
        <w:rPr>
          <w:rFonts w:eastAsia="Times New Roman"/>
        </w:rPr>
        <w:t xml:space="preserve">And similarly, </w:t>
      </w:r>
      <w:r w:rsidR="002F5436">
        <w:rPr>
          <w:lang w:val="en-GB"/>
        </w:rPr>
        <w:t>“(cell ID mod 32)</w:t>
      </w:r>
      <w:r w:rsidR="002F5436" w:rsidRPr="0074630E">
        <w:rPr>
          <w:rFonts w:eastAsia="Times New Roman"/>
        </w:rPr>
        <w:t xml:space="preserve"> </w:t>
      </w:r>
      <w:r w:rsidR="002F5436" w:rsidRPr="0074630E">
        <w:rPr>
          <w:lang w:val="en-GB"/>
        </w:rPr>
        <w:t xml:space="preserve">+/- </w:t>
      </w:r>
      <w:r w:rsidR="002F5436">
        <w:rPr>
          <w:rFonts w:eastAsia="Times New Roman"/>
        </w:rPr>
        <w:t xml:space="preserve">delta_time-offset” </w:t>
      </w:r>
      <w:r w:rsidR="002F5436" w:rsidRPr="002F5436">
        <w:rPr>
          <w:lang w:val="en-GB"/>
        </w:rPr>
        <w:t xml:space="preserve">could be a starting point for the </w:t>
      </w:r>
      <w:r w:rsidR="002F5436">
        <w:rPr>
          <w:lang w:val="en-GB"/>
        </w:rPr>
        <w:t xml:space="preserve">time </w:t>
      </w:r>
      <w:r w:rsidR="002F5436" w:rsidRPr="002F5436">
        <w:rPr>
          <w:lang w:val="en-GB"/>
        </w:rPr>
        <w:t xml:space="preserve">offset, with </w:t>
      </w:r>
      <w:r w:rsidR="002F5436">
        <w:rPr>
          <w:lang w:val="en-GB"/>
        </w:rPr>
        <w:t>d</w:t>
      </w:r>
      <w:r w:rsidR="002F5436" w:rsidRPr="002F5436">
        <w:rPr>
          <w:lang w:val="en-GB"/>
        </w:rPr>
        <w:t>elta_time-offset as a 1/2/</w:t>
      </w:r>
      <w:r w:rsidR="00AA3A1F" w:rsidRPr="002F5436">
        <w:rPr>
          <w:lang w:val="en-GB"/>
        </w:rPr>
        <w:t>3</w:t>
      </w:r>
      <w:r w:rsidR="00AA3A1F">
        <w:rPr>
          <w:lang w:val="en-GB"/>
        </w:rPr>
        <w:t>-</w:t>
      </w:r>
      <w:r w:rsidR="002F5436" w:rsidRPr="002F5436">
        <w:rPr>
          <w:lang w:val="en-GB"/>
        </w:rPr>
        <w:t>bit</w:t>
      </w:r>
      <w:r w:rsidR="005931F3">
        <w:rPr>
          <w:lang w:val="en-GB"/>
        </w:rPr>
        <w:t xml:space="preserve"> value</w:t>
      </w:r>
      <w:r w:rsidR="002F5436" w:rsidRPr="002F5436">
        <w:rPr>
          <w:lang w:val="en-GB"/>
        </w:rPr>
        <w:t>.</w:t>
      </w:r>
      <w:r w:rsidR="002F5436">
        <w:rPr>
          <w:lang w:val="en-GB"/>
        </w:rPr>
        <w:t xml:space="preserve"> </w:t>
      </w:r>
      <w:r w:rsidR="00553F64" w:rsidRPr="00553F64">
        <w:rPr>
          <w:lang w:val="en-GB"/>
        </w:rPr>
        <w:t xml:space="preserve">The </w:t>
      </w:r>
      <w:r w:rsidR="00553F64" w:rsidRPr="00C14358">
        <w:rPr>
          <w:lang w:val="en-GB"/>
        </w:rPr>
        <w:t xml:space="preserve">“delta_freq-Offset” and “delta_time-Offset” </w:t>
      </w:r>
      <w:r w:rsidR="00553F64">
        <w:rPr>
          <w:lang w:val="en-GB"/>
        </w:rPr>
        <w:t>will be</w:t>
      </w:r>
      <w:r w:rsidR="00553F64" w:rsidRPr="00C14358">
        <w:rPr>
          <w:lang w:val="en-GB"/>
        </w:rPr>
        <w:t xml:space="preserve"> indicated together with neighbour cell list in SIB. </w:t>
      </w:r>
      <w:r w:rsidR="002F5436">
        <w:rPr>
          <w:lang w:val="en-GB"/>
        </w:rPr>
        <w:t xml:space="preserve">By restricting the RSS </w:t>
      </w:r>
      <w:r w:rsidR="005931F3">
        <w:rPr>
          <w:lang w:val="en-GB"/>
        </w:rPr>
        <w:t xml:space="preserve">time and frequency </w:t>
      </w:r>
      <w:r w:rsidR="0096617C">
        <w:rPr>
          <w:lang w:val="en-GB"/>
        </w:rPr>
        <w:t xml:space="preserve">based on the Cell ID, while providing some limited scheduling flexibility </w:t>
      </w:r>
      <w:r w:rsidR="00AE3245">
        <w:rPr>
          <w:lang w:val="en-GB"/>
        </w:rPr>
        <w:t>for RSS scheduling at the base-station</w:t>
      </w:r>
      <w:r w:rsidR="005931F3">
        <w:rPr>
          <w:lang w:val="en-GB"/>
        </w:rPr>
        <w:t xml:space="preserve">, the 12-bits of broadcast information can be </w:t>
      </w:r>
      <w:r w:rsidR="00AE3245">
        <w:rPr>
          <w:lang w:val="en-GB"/>
        </w:rPr>
        <w:t>reduced</w:t>
      </w:r>
      <w:r w:rsidR="005931F3">
        <w:rPr>
          <w:lang w:val="en-GB"/>
        </w:rPr>
        <w:t xml:space="preserve"> to 4-5 bits for the example above. </w:t>
      </w:r>
    </w:p>
    <w:p w14:paraId="3EF6A558" w14:textId="127800EC" w:rsidR="00AA3A1F" w:rsidRPr="00C14358" w:rsidRDefault="00AA3A1F" w:rsidP="006A292F">
      <w:pPr>
        <w:rPr>
          <w:b/>
          <w:lang w:val="en-GB"/>
        </w:rPr>
      </w:pPr>
      <w:r w:rsidRPr="00363501">
        <w:rPr>
          <w:b/>
          <w:u w:val="single"/>
          <w:lang w:val="en-GB"/>
        </w:rPr>
        <w:t xml:space="preserve">Observation </w:t>
      </w:r>
      <w:r w:rsidR="00953715">
        <w:rPr>
          <w:b/>
          <w:u w:val="single"/>
          <w:lang w:val="en-GB"/>
        </w:rPr>
        <w:t>1</w:t>
      </w:r>
      <w:r w:rsidRPr="00363501">
        <w:rPr>
          <w:b/>
          <w:lang w:val="en-GB"/>
        </w:rPr>
        <w:t xml:space="preserve">: </w:t>
      </w:r>
      <w:r>
        <w:rPr>
          <w:b/>
          <w:lang w:val="en-GB"/>
        </w:rPr>
        <w:t>Opt</w:t>
      </w:r>
      <w:r w:rsidR="00953715">
        <w:rPr>
          <w:b/>
          <w:lang w:val="en-GB"/>
        </w:rPr>
        <w:t xml:space="preserve">ion </w:t>
      </w:r>
      <w:r>
        <w:rPr>
          <w:b/>
          <w:lang w:val="en-GB"/>
        </w:rPr>
        <w:t>2</w:t>
      </w:r>
      <w:r w:rsidR="00953715">
        <w:rPr>
          <w:b/>
          <w:lang w:val="en-GB"/>
        </w:rPr>
        <w:t xml:space="preserve"> </w:t>
      </w:r>
      <w:r w:rsidR="00AE3245">
        <w:rPr>
          <w:b/>
          <w:lang w:val="en-GB"/>
        </w:rPr>
        <w:t>provides additional scheduling flexibility for the RSS on top of Option 1, at the expense of limited additional signalling</w:t>
      </w:r>
      <w:r>
        <w:rPr>
          <w:b/>
          <w:lang w:val="en-GB"/>
        </w:rPr>
        <w:t>.</w:t>
      </w:r>
    </w:p>
    <w:p w14:paraId="324DFF96" w14:textId="77777777" w:rsidR="006A292F" w:rsidRDefault="006A292F" w:rsidP="006A292F">
      <w:pPr>
        <w:spacing w:after="0"/>
        <w:rPr>
          <w:b/>
          <w:lang w:val="en-GB"/>
        </w:rPr>
      </w:pPr>
      <w:r w:rsidRPr="004902AB">
        <w:rPr>
          <w:b/>
          <w:u w:val="single"/>
          <w:lang w:val="en-GB"/>
        </w:rPr>
        <w:t>Proposal 1</w:t>
      </w:r>
      <w:r w:rsidRPr="004902AB">
        <w:rPr>
          <w:b/>
          <w:lang w:val="en-GB"/>
        </w:rPr>
        <w:t>:  The RSS time</w:t>
      </w:r>
      <w:r>
        <w:rPr>
          <w:b/>
          <w:lang w:val="en-GB"/>
        </w:rPr>
        <w:t>-</w:t>
      </w:r>
      <w:r w:rsidRPr="004902AB">
        <w:rPr>
          <w:b/>
          <w:lang w:val="en-GB"/>
        </w:rPr>
        <w:t>offset (</w:t>
      </w:r>
      <w:r w:rsidRPr="004902AB">
        <w:rPr>
          <w:b/>
          <w:i/>
          <w:lang w:val="en-GB"/>
        </w:rPr>
        <w:t>ce-rss-timeOffset-config</w:t>
      </w:r>
      <w:r w:rsidRPr="004902AB">
        <w:rPr>
          <w:b/>
          <w:lang w:val="en-GB"/>
        </w:rPr>
        <w:t>) and RSS frequency</w:t>
      </w:r>
      <w:r>
        <w:rPr>
          <w:b/>
          <w:lang w:val="en-GB"/>
        </w:rPr>
        <w:t>-</w:t>
      </w:r>
      <w:r w:rsidRPr="004902AB">
        <w:rPr>
          <w:b/>
          <w:lang w:val="en-GB"/>
        </w:rPr>
        <w:t>location (</w:t>
      </w:r>
      <w:r w:rsidRPr="004902AB">
        <w:rPr>
          <w:b/>
          <w:i/>
          <w:lang w:eastAsia="ja-JP"/>
        </w:rPr>
        <w:t>ce-rss-freqPos-config</w:t>
      </w:r>
      <w:r w:rsidRPr="004902AB">
        <w:rPr>
          <w:b/>
          <w:lang w:val="en-GB"/>
        </w:rPr>
        <w:t xml:space="preserve">) </w:t>
      </w:r>
      <w:r>
        <w:rPr>
          <w:b/>
          <w:lang w:val="en-GB"/>
        </w:rPr>
        <w:t>are determined based on “(</w:t>
      </w:r>
      <w:r w:rsidRPr="004902AB">
        <w:rPr>
          <w:b/>
          <w:lang w:val="en-GB"/>
        </w:rPr>
        <w:t>Cell ID</w:t>
      </w:r>
      <w:r>
        <w:rPr>
          <w:b/>
          <w:lang w:val="en-GB"/>
        </w:rPr>
        <w:t xml:space="preserve"> mod 32)</w:t>
      </w:r>
      <w:r w:rsidRPr="004902AB">
        <w:rPr>
          <w:b/>
          <w:lang w:val="en-GB"/>
        </w:rPr>
        <w:t xml:space="preserve"> </w:t>
      </w:r>
      <w:r>
        <w:rPr>
          <w:b/>
          <w:lang w:val="en-GB"/>
        </w:rPr>
        <w:t>+/- delta-time-Offset” and “(Cell ID mod 99) +/- delta-freq_offset” with “delta_freq-Offset” and “delta_time-Offset” signalled together with the neighbour cell list</w:t>
      </w:r>
      <w:r w:rsidRPr="004902AB">
        <w:rPr>
          <w:b/>
          <w:lang w:val="en-GB"/>
        </w:rPr>
        <w:t xml:space="preserve">. </w:t>
      </w:r>
    </w:p>
    <w:p w14:paraId="7552E2F3" w14:textId="77777777" w:rsidR="006A292F" w:rsidRDefault="006A292F" w:rsidP="006A292F">
      <w:pPr>
        <w:pStyle w:val="ListParagraph"/>
        <w:numPr>
          <w:ilvl w:val="0"/>
          <w:numId w:val="19"/>
        </w:numPr>
        <w:rPr>
          <w:rFonts w:ascii="Times New Roman" w:eastAsia="SimSun" w:hAnsi="Times New Roman"/>
          <w:b/>
          <w:sz w:val="20"/>
          <w:szCs w:val="20"/>
          <w:lang w:val="en-GB"/>
        </w:rPr>
      </w:pPr>
      <w:r w:rsidRPr="006A292F">
        <w:rPr>
          <w:rFonts w:ascii="Times New Roman" w:eastAsia="SimSun" w:hAnsi="Times New Roman"/>
          <w:b/>
          <w:sz w:val="20"/>
          <w:szCs w:val="20"/>
          <w:lang w:val="en-GB"/>
        </w:rPr>
        <w:t>FFS ranges of “delta_freq-Offset” and “delta_time-Offset”</w:t>
      </w:r>
    </w:p>
    <w:p w14:paraId="0943AD11" w14:textId="33143385" w:rsidR="00074EB3" w:rsidRDefault="00074EB3" w:rsidP="00074EB3">
      <w:pPr>
        <w:pStyle w:val="Heading1"/>
      </w:pPr>
      <w:r>
        <w:t xml:space="preserve">Neighbour cell RSS </w:t>
      </w:r>
      <w:r>
        <w:t>power</w:t>
      </w:r>
      <w:bookmarkStart w:id="2" w:name="_GoBack"/>
      <w:bookmarkEnd w:id="2"/>
      <w:r>
        <w:t xml:space="preserve"> information</w:t>
      </w:r>
    </w:p>
    <w:p w14:paraId="11987B7A" w14:textId="0CA4864F" w:rsidR="00970D4B" w:rsidRDefault="00F2329E" w:rsidP="00827D2D">
      <w:pPr>
        <w:rPr>
          <w:lang w:val="en-GB"/>
        </w:rPr>
      </w:pPr>
      <w:r>
        <w:rPr>
          <w:lang w:val="en-GB"/>
        </w:rPr>
        <w:t xml:space="preserve">In order to use RSS for neighbour cell measurement, the UE is required to know the number of CRS ports in neighbour cell. </w:t>
      </w:r>
      <w:r w:rsidR="003A108D">
        <w:rPr>
          <w:lang w:val="en-GB"/>
        </w:rPr>
        <w:t xml:space="preserve">The number of CRS ports information cannot be assumed to be carrier specific; otherwise there would be a deviation for the measurement to the actual transmission power. </w:t>
      </w:r>
      <w:r w:rsidR="0074630E">
        <w:rPr>
          <w:lang w:val="en-GB"/>
        </w:rPr>
        <w:t xml:space="preserve"> </w:t>
      </w:r>
    </w:p>
    <w:p w14:paraId="0ABAEA57" w14:textId="58F29343" w:rsidR="003A108D" w:rsidRDefault="00854C62" w:rsidP="00827D2D">
      <w:pPr>
        <w:rPr>
          <w:lang w:val="en-GB"/>
        </w:rPr>
      </w:pPr>
      <w:r>
        <w:rPr>
          <w:lang w:val="en-GB"/>
        </w:rPr>
        <w:t>In [</w:t>
      </w:r>
      <w:r w:rsidR="003A108D">
        <w:rPr>
          <w:lang w:val="en-GB"/>
        </w:rPr>
        <w:t>2</w:t>
      </w:r>
      <w:r>
        <w:rPr>
          <w:lang w:val="en-GB"/>
        </w:rPr>
        <w:t xml:space="preserve">], it is proposed to </w:t>
      </w:r>
      <w:r w:rsidR="003A108D">
        <w:rPr>
          <w:lang w:val="en-GB"/>
        </w:rPr>
        <w:t xml:space="preserve">derive the number of CRS ports from decoding PBCH of neighbour cells. In such case, signalling of the number of CRS ports can be avoided to save the overhead. </w:t>
      </w:r>
      <w:r w:rsidR="007B0AA6">
        <w:rPr>
          <w:lang w:val="en-GB"/>
        </w:rPr>
        <w:t xml:space="preserve">It shall be noted that decoding PBCH is </w:t>
      </w:r>
      <w:r w:rsidR="00553F64">
        <w:rPr>
          <w:lang w:val="en-GB"/>
        </w:rPr>
        <w:t xml:space="preserve">not the legacy behaviour for cell reselection. It is difficult especially </w:t>
      </w:r>
      <w:r w:rsidR="007B0AA6">
        <w:rPr>
          <w:lang w:val="en-GB"/>
        </w:rPr>
        <w:t>for UE in a very low SNR regime</w:t>
      </w:r>
      <w:r w:rsidR="00553F64">
        <w:rPr>
          <w:lang w:val="en-GB"/>
        </w:rPr>
        <w:t xml:space="preserve"> </w:t>
      </w:r>
      <w:r w:rsidR="007B0AA6">
        <w:rPr>
          <w:lang w:val="en-GB"/>
        </w:rPr>
        <w:t xml:space="preserve">to take </w:t>
      </w:r>
      <w:r w:rsidR="00553F64">
        <w:rPr>
          <w:lang w:val="en-GB"/>
        </w:rPr>
        <w:t xml:space="preserve">long </w:t>
      </w:r>
      <w:r w:rsidR="007B0AA6">
        <w:rPr>
          <w:lang w:val="en-GB"/>
        </w:rPr>
        <w:t xml:space="preserve">time </w:t>
      </w:r>
      <w:r w:rsidR="00553F64">
        <w:rPr>
          <w:lang w:val="en-GB"/>
        </w:rPr>
        <w:t>for</w:t>
      </w:r>
      <w:r w:rsidR="007B0AA6">
        <w:rPr>
          <w:lang w:val="en-GB"/>
        </w:rPr>
        <w:t xml:space="preserve"> PBCH </w:t>
      </w:r>
      <w:r w:rsidR="00553F64">
        <w:rPr>
          <w:lang w:val="en-GB"/>
        </w:rPr>
        <w:t xml:space="preserve">detection, </w:t>
      </w:r>
      <w:r w:rsidR="007B0AA6">
        <w:rPr>
          <w:lang w:val="en-GB"/>
        </w:rPr>
        <w:t xml:space="preserve">thus </w:t>
      </w:r>
      <w:r w:rsidR="00553F64">
        <w:rPr>
          <w:lang w:val="en-GB"/>
        </w:rPr>
        <w:t xml:space="preserve">costing additional </w:t>
      </w:r>
      <w:r w:rsidR="007B0AA6">
        <w:rPr>
          <w:lang w:val="en-GB"/>
        </w:rPr>
        <w:t>power consumption.</w:t>
      </w:r>
    </w:p>
    <w:p w14:paraId="5C5B0127" w14:textId="063039B2" w:rsidR="004D30E5" w:rsidRDefault="007B0AA6" w:rsidP="007B0AA6">
      <w:pPr>
        <w:rPr>
          <w:b/>
          <w:lang w:val="en-GB"/>
        </w:rPr>
      </w:pPr>
      <w:r w:rsidRPr="004902AB">
        <w:rPr>
          <w:b/>
          <w:u w:val="single"/>
          <w:lang w:val="en-GB"/>
        </w:rPr>
        <w:t xml:space="preserve">Proposal </w:t>
      </w:r>
      <w:r>
        <w:rPr>
          <w:b/>
          <w:u w:val="single"/>
          <w:lang w:val="en-GB"/>
        </w:rPr>
        <w:t>2</w:t>
      </w:r>
      <w:r w:rsidRPr="004902AB">
        <w:rPr>
          <w:b/>
          <w:lang w:val="en-GB"/>
        </w:rPr>
        <w:t xml:space="preserve">:  The </w:t>
      </w:r>
      <w:r>
        <w:rPr>
          <w:b/>
          <w:lang w:val="en-GB"/>
        </w:rPr>
        <w:t xml:space="preserve">number of CRS ports </w:t>
      </w:r>
      <w:r w:rsidR="00733055">
        <w:rPr>
          <w:b/>
          <w:lang w:val="en-GB"/>
        </w:rPr>
        <w:t xml:space="preserve">per </w:t>
      </w:r>
      <w:r>
        <w:rPr>
          <w:b/>
          <w:lang w:val="en-GB"/>
        </w:rPr>
        <w:t xml:space="preserve">neighbour cell </w:t>
      </w:r>
      <w:r w:rsidR="00733055">
        <w:rPr>
          <w:b/>
          <w:lang w:val="en-GB"/>
        </w:rPr>
        <w:t>is not derived from PBCH decoding</w:t>
      </w:r>
      <w:r>
        <w:rPr>
          <w:b/>
          <w:lang w:val="en-GB"/>
        </w:rPr>
        <w:t>.</w:t>
      </w:r>
      <w:bookmarkStart w:id="3" w:name="_Hlk4762514"/>
    </w:p>
    <w:p w14:paraId="0CCB259A" w14:textId="77777777" w:rsidR="00C018B6" w:rsidRDefault="00C018B6" w:rsidP="00983029">
      <w:pPr>
        <w:rPr>
          <w:bCs/>
        </w:rPr>
      </w:pPr>
    </w:p>
    <w:p w14:paraId="5647F0D3" w14:textId="3329C477" w:rsidR="00983029" w:rsidRDefault="00C018B6" w:rsidP="00983029">
      <w:pPr>
        <w:rPr>
          <w:bCs/>
        </w:rPr>
      </w:pPr>
      <w:r>
        <w:rPr>
          <w:bCs/>
        </w:rPr>
        <w:t>On the other hand, t</w:t>
      </w:r>
      <w:r w:rsidR="00983029">
        <w:rPr>
          <w:bCs/>
        </w:rPr>
        <w:t>he</w:t>
      </w:r>
      <w:r w:rsidR="00983029" w:rsidRPr="00703ECB">
        <w:rPr>
          <w:bCs/>
        </w:rPr>
        <w:t xml:space="preserve"> RSS transmit power, i.e., RSS EPRE, is defined relative to CRS EPER for a given cell as:</w:t>
      </w:r>
    </w:p>
    <w:p w14:paraId="1E231759" w14:textId="7DA3A16F" w:rsidR="00983029" w:rsidRPr="006A292F" w:rsidRDefault="00346F25" w:rsidP="00983029">
      <w:pPr>
        <w:rPr>
          <w:bCs/>
          <w:iCs/>
        </w:rPr>
      </w:pPr>
      <m:oMathPara>
        <m:oMath>
          <m:sSub>
            <m:sSubPr>
              <m:ctrlPr>
                <w:rPr>
                  <w:rFonts w:ascii="Cambria Math" w:hAnsi="Cambria Math"/>
                  <w:bCs/>
                  <w:i/>
                  <w:iCs/>
                </w:rPr>
              </m:ctrlPr>
            </m:sSubPr>
            <m:e>
              <m:r>
                <m:rPr>
                  <m:sty m:val="p"/>
                </m:rPr>
                <w:rPr>
                  <w:rFonts w:ascii="Cambria Math" w:hAnsi="Cambria Math"/>
                </w:rPr>
                <m:t>EPRE</m:t>
              </m:r>
            </m:e>
            <m:sub>
              <m:r>
                <m:rPr>
                  <m:sty m:val="p"/>
                </m:rPr>
                <w:rPr>
                  <w:rFonts w:ascii="Cambria Math" w:hAnsi="Cambria Math"/>
                </w:rPr>
                <m:t>RSS</m:t>
              </m:r>
            </m:sub>
          </m:sSub>
          <m:r>
            <m:rPr>
              <m:sty m:val="p"/>
            </m:rPr>
            <w:rPr>
              <w:rFonts w:ascii="Cambria Math" w:hAnsi="Cambria Math"/>
            </w:rPr>
            <m:t>=</m:t>
          </m:r>
          <m:r>
            <w:rPr>
              <w:rFonts w:ascii="Cambria Math" w:hAnsi="Cambria Math"/>
            </w:rPr>
            <m:t>powerBoost</m:t>
          </m:r>
          <m:r>
            <m:rPr>
              <m:sty m:val="p"/>
            </m:rPr>
            <w:rPr>
              <w:rFonts w:ascii="Cambria Math" w:hAnsi="Cambria Math"/>
              <w:lang w:val="en-GB"/>
            </w:rPr>
            <m:t>+10</m:t>
          </m:r>
          <m:sSub>
            <m:sSubPr>
              <m:ctrlPr>
                <w:rPr>
                  <w:rFonts w:ascii="Cambria Math" w:hAnsi="Cambria Math"/>
                  <w:bCs/>
                  <w:i/>
                  <w:iCs/>
                </w:rPr>
              </m:ctrlPr>
            </m:sSubPr>
            <m:e>
              <m:r>
                <m:rPr>
                  <m:sty m:val="p"/>
                </m:rPr>
                <w:rPr>
                  <w:rFonts w:ascii="Cambria Math" w:hAnsi="Cambria Math"/>
                  <w:lang w:val="en-GB"/>
                </w:rPr>
                <m:t>log</m:t>
              </m:r>
            </m:e>
            <m:sub>
              <m:r>
                <m:rPr>
                  <m:sty m:val="p"/>
                </m:rPr>
                <w:rPr>
                  <w:rFonts w:ascii="Cambria Math" w:hAnsi="Cambria Math"/>
                  <w:lang w:val="en-GB"/>
                </w:rPr>
                <m:t>10</m:t>
              </m:r>
            </m:sub>
          </m:sSub>
          <m:d>
            <m:dPr>
              <m:ctrlPr>
                <w:rPr>
                  <w:rFonts w:ascii="Cambria Math" w:hAnsi="Cambria Math"/>
                  <w:bCs/>
                  <w:i/>
                  <w:iCs/>
                </w:rPr>
              </m:ctrlPr>
            </m:dPr>
            <m:e>
              <m:r>
                <w:rPr>
                  <w:rFonts w:ascii="Cambria Math" w:hAnsi="Cambria Math"/>
                  <w:lang w:val="en-GB"/>
                </w:rPr>
                <m:t>p×</m:t>
              </m:r>
              <m:r>
                <m:rPr>
                  <m:sty m:val="p"/>
                </m:rPr>
                <w:rPr>
                  <w:rFonts w:ascii="Cambria Math" w:hAnsi="Cambria Math"/>
                  <w:lang w:val="en-GB"/>
                </w:rPr>
                <m:t>min</m:t>
              </m:r>
              <m:r>
                <w:rPr>
                  <w:rFonts w:ascii="Cambria Math" w:hAnsi="Cambria Math"/>
                  <w:lang w:val="en-GB"/>
                </w:rPr>
                <m:t>(</m:t>
              </m:r>
              <m:sSubSup>
                <m:sSubSupPr>
                  <m:ctrlPr>
                    <w:rPr>
                      <w:rFonts w:ascii="Cambria Math" w:hAnsi="Cambria Math"/>
                      <w:bCs/>
                      <w:i/>
                      <w:iCs/>
                    </w:rPr>
                  </m:ctrlPr>
                </m:sSubSupPr>
                <m:e>
                  <m:r>
                    <w:rPr>
                      <w:rFonts w:ascii="Cambria Math" w:hAnsi="Cambria Math"/>
                      <w:lang w:val="en-GB"/>
                    </w:rPr>
                    <m:t>ρ</m:t>
                  </m:r>
                </m:e>
                <m:sub>
                  <m:r>
                    <w:rPr>
                      <w:rFonts w:ascii="Cambria Math" w:hAnsi="Cambria Math"/>
                      <w:lang w:val="en-GB"/>
                    </w:rPr>
                    <m:t>A</m:t>
                  </m:r>
                </m:sub>
                <m:sup>
                  <m:r>
                    <w:rPr>
                      <w:rFonts w:ascii="Cambria Math" w:hAnsi="Cambria Math"/>
                      <w:lang w:val="en-GB"/>
                    </w:rPr>
                    <m:t>d</m:t>
                  </m:r>
                </m:sup>
              </m:sSubSup>
              <m:r>
                <w:rPr>
                  <w:rFonts w:ascii="Cambria Math" w:hAnsi="Cambria Math"/>
                  <w:lang w:val="en-GB"/>
                </w:rPr>
                <m:t>,</m:t>
              </m:r>
              <m:sSubSup>
                <m:sSubSupPr>
                  <m:ctrlPr>
                    <w:rPr>
                      <w:rFonts w:ascii="Cambria Math" w:hAnsi="Cambria Math"/>
                      <w:bCs/>
                      <w:i/>
                      <w:iCs/>
                    </w:rPr>
                  </m:ctrlPr>
                </m:sSubSupPr>
                <m:e>
                  <m:r>
                    <w:rPr>
                      <w:rFonts w:ascii="Cambria Math" w:hAnsi="Cambria Math"/>
                      <w:lang w:val="en-GB"/>
                    </w:rPr>
                    <m:t>ρ</m:t>
                  </m:r>
                </m:e>
                <m:sub>
                  <m:r>
                    <w:rPr>
                      <w:rFonts w:ascii="Cambria Math" w:hAnsi="Cambria Math"/>
                      <w:lang w:val="en-GB"/>
                    </w:rPr>
                    <m:t>B</m:t>
                  </m:r>
                </m:sub>
                <m:sup>
                  <m:r>
                    <w:rPr>
                      <w:rFonts w:ascii="Cambria Math" w:hAnsi="Cambria Math"/>
                      <w:lang w:val="en-GB"/>
                    </w:rPr>
                    <m:t>d</m:t>
                  </m:r>
                </m:sup>
              </m:sSubSup>
              <m:r>
                <w:rPr>
                  <w:rFonts w:ascii="Cambria Math" w:hAnsi="Cambria Math"/>
                  <w:lang w:val="en-GB"/>
                </w:rPr>
                <m:t>)</m:t>
              </m:r>
            </m:e>
          </m:d>
        </m:oMath>
      </m:oMathPara>
    </w:p>
    <w:p w14:paraId="4F45E400" w14:textId="57EA1987" w:rsidR="00983029" w:rsidRPr="006A292F" w:rsidRDefault="00983029" w:rsidP="00703ECB">
      <w:pPr>
        <w:rPr>
          <w:bCs/>
        </w:rPr>
      </w:pPr>
      <w:r w:rsidRPr="006A292F">
        <w:rPr>
          <w:bCs/>
          <w:iCs/>
        </w:rPr>
        <w:t>where</w:t>
      </w:r>
    </w:p>
    <w:p w14:paraId="20EEB801" w14:textId="29F9B1F4" w:rsidR="00983029" w:rsidRPr="006A292F" w:rsidRDefault="00983029" w:rsidP="00983029">
      <w:pPr>
        <w:numPr>
          <w:ilvl w:val="1"/>
          <w:numId w:val="17"/>
        </w:numPr>
        <w:rPr>
          <w:bCs/>
        </w:rPr>
      </w:pPr>
      <w:r w:rsidRPr="006A292F">
        <w:rPr>
          <w:bCs/>
          <w:i/>
          <w:iCs/>
          <w:lang w:val="en-GB"/>
        </w:rPr>
        <w:t xml:space="preserve">powerBoost </w:t>
      </w:r>
      <w:r>
        <w:rPr>
          <w:bCs/>
          <w:lang w:val="en-GB"/>
        </w:rPr>
        <w:t xml:space="preserve">is </w:t>
      </w:r>
      <w:r w:rsidRPr="00703ECB">
        <w:rPr>
          <w:bCs/>
        </w:rPr>
        <w:t xml:space="preserve">configured by the higher layers (possible values </w:t>
      </w:r>
      <m:oMath>
        <m:r>
          <w:rPr>
            <w:rFonts w:ascii="Cambria Math" w:hAnsi="Cambria Math" w:hint="eastAsia"/>
          </w:rPr>
          <m:t>∈</m:t>
        </m:r>
        <m:r>
          <w:rPr>
            <w:rFonts w:ascii="Cambria Math" w:hAnsi="Cambria Math" w:hint="eastAsia"/>
          </w:rPr>
          <m:t>{0dB, 3dB, 4.8dB, 6dB}</m:t>
        </m:r>
      </m:oMath>
      <w:r w:rsidRPr="006A292F">
        <w:rPr>
          <w:bCs/>
        </w:rPr>
        <w:t xml:space="preserve">) </w:t>
      </w:r>
    </w:p>
    <w:p w14:paraId="0115CC25" w14:textId="117D9A5D" w:rsidR="00983029" w:rsidRPr="006A292F" w:rsidRDefault="00983029" w:rsidP="00983029">
      <w:pPr>
        <w:numPr>
          <w:ilvl w:val="1"/>
          <w:numId w:val="17"/>
        </w:numPr>
        <w:rPr>
          <w:bCs/>
        </w:rPr>
      </w:pPr>
      <m:oMath>
        <m:r>
          <w:rPr>
            <w:rFonts w:ascii="Cambria Math" w:hAnsi="Cambria Math"/>
          </w:rPr>
          <m:t>p</m:t>
        </m:r>
      </m:oMath>
      <w:r w:rsidRPr="00983029">
        <w:rPr>
          <w:bCs/>
        </w:rPr>
        <w:t xml:space="preserve"> </w:t>
      </w:r>
      <w:r>
        <w:rPr>
          <w:bCs/>
        </w:rPr>
        <w:t>is t</w:t>
      </w:r>
      <w:r w:rsidRPr="00703ECB">
        <w:rPr>
          <w:bCs/>
        </w:rPr>
        <w:t xml:space="preserve">he number of CRS ports used by the cell, </w:t>
      </w:r>
      <m:oMath>
        <m:r>
          <w:rPr>
            <w:rFonts w:ascii="Cambria Math" w:hAnsi="Cambria Math" w:hint="eastAsia"/>
          </w:rPr>
          <m:t>p</m:t>
        </m:r>
        <m:r>
          <w:rPr>
            <w:rFonts w:ascii="Cambria Math" w:hAnsi="Cambria Math" w:hint="eastAsia"/>
          </w:rPr>
          <m:t>∈</m:t>
        </m:r>
        <m:r>
          <w:rPr>
            <w:rFonts w:ascii="Cambria Math" w:hAnsi="Cambria Math" w:hint="eastAsia"/>
          </w:rPr>
          <m:t>{1,2,4}</m:t>
        </m:r>
      </m:oMath>
    </w:p>
    <w:p w14:paraId="3C454962" w14:textId="4CB13750" w:rsidR="00983029" w:rsidRPr="000E2EB7" w:rsidRDefault="00346F25" w:rsidP="00983029">
      <w:pPr>
        <w:numPr>
          <w:ilvl w:val="1"/>
          <w:numId w:val="17"/>
        </w:numPr>
        <w:rPr>
          <w:bCs/>
        </w:rPr>
      </w:pPr>
      <m:oMath>
        <m:sSubSup>
          <m:sSubSupPr>
            <m:ctrlPr>
              <w:rPr>
                <w:rFonts w:ascii="Cambria Math" w:hAnsi="Cambria Math"/>
                <w:bCs/>
                <w:i/>
                <w:iCs/>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983029" w:rsidRPr="001652BF">
        <w:rPr>
          <w:bCs/>
        </w:rPr>
        <w:t xml:space="preserve"> and </w:t>
      </w:r>
      <m:oMath>
        <m:sSubSup>
          <m:sSubSupPr>
            <m:ctrlPr>
              <w:rPr>
                <w:rFonts w:ascii="Cambria Math" w:hAnsi="Cambria Math"/>
                <w:bCs/>
                <w:i/>
                <w:iCs/>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983029">
        <w:rPr>
          <w:bCs/>
        </w:rPr>
        <w:t xml:space="preserve"> is about the</w:t>
      </w:r>
      <w:r w:rsidR="00983029" w:rsidRPr="00703ECB">
        <w:rPr>
          <w:bCs/>
        </w:rPr>
        <w:t xml:space="preserve"> power-boost level of the CRS in the cell,</w:t>
      </w:r>
      <w:r w:rsidR="001B4434">
        <w:rPr>
          <w:bCs/>
        </w:rPr>
        <w:t xml:space="preserve"> based on</w:t>
      </w:r>
      <w:r w:rsidR="00983029" w:rsidRPr="00703ECB">
        <w:rPr>
          <w:bCs/>
        </w:rPr>
        <w:t xml:space="preserve"> the parameter </w:t>
      </w:r>
      <m:oMath>
        <m:sSub>
          <m:sSubPr>
            <m:ctrlPr>
              <w:rPr>
                <w:rFonts w:ascii="Cambria Math" w:hAnsi="Cambria Math"/>
                <w:bCs/>
                <w:i/>
                <w:iCs/>
              </w:rPr>
            </m:ctrlPr>
          </m:sSubPr>
          <m:e>
            <m:r>
              <w:rPr>
                <w:rFonts w:ascii="Cambria Math" w:hAnsi="Cambria Math"/>
              </w:rPr>
              <m:t>P</m:t>
            </m:r>
          </m:e>
          <m:sub>
            <m:r>
              <w:rPr>
                <w:rFonts w:ascii="Cambria Math" w:hAnsi="Cambria Math"/>
              </w:rPr>
              <m:t>B</m:t>
            </m:r>
          </m:sub>
        </m:sSub>
        <m:r>
          <w:rPr>
            <w:rFonts w:ascii="Cambria Math" w:hAnsi="Cambria Math"/>
          </w:rPr>
          <m:t>∈{0,1,2,3}</m:t>
        </m:r>
      </m:oMath>
      <w:r w:rsidR="00983029">
        <w:rPr>
          <w:bCs/>
          <w:iCs/>
        </w:rPr>
        <w:t xml:space="preserve"> </w:t>
      </w:r>
      <w:r w:rsidR="003D2355">
        <w:rPr>
          <w:bCs/>
          <w:iCs/>
        </w:rPr>
        <w:t xml:space="preserve">   </w:t>
      </w:r>
    </w:p>
    <w:p w14:paraId="26517296" w14:textId="1C1B84A0" w:rsidR="008D2E9C" w:rsidRDefault="003D2355">
      <w:pPr>
        <w:rPr>
          <w:bCs/>
        </w:rPr>
      </w:pPr>
      <w:r>
        <w:rPr>
          <w:bCs/>
        </w:rPr>
        <w:t>T</w:t>
      </w:r>
      <w:r w:rsidR="006F721E">
        <w:rPr>
          <w:bCs/>
        </w:rPr>
        <w:t>able 1</w:t>
      </w:r>
      <w:r>
        <w:rPr>
          <w:bCs/>
        </w:rPr>
        <w:t xml:space="preserve"> </w:t>
      </w:r>
      <w:r w:rsidRPr="003D2355">
        <w:rPr>
          <w:bCs/>
        </w:rPr>
        <w:t xml:space="preserve">shows the possible values of relative RSS EPRE w.r.t CRS </w:t>
      </w:r>
      <w:r>
        <w:rPr>
          <w:bCs/>
        </w:rPr>
        <w:t xml:space="preserve">EPRE </w:t>
      </w:r>
      <w:r w:rsidRPr="003D2355">
        <w:rPr>
          <w:bCs/>
        </w:rPr>
        <w:t>of the same neighbor cell</w:t>
      </w:r>
      <w:r>
        <w:rPr>
          <w:bCs/>
        </w:rPr>
        <w:t xml:space="preserve">. The power offset is cell-specific and in the range of [-10, </w:t>
      </w:r>
      <w:r w:rsidR="00035FFD">
        <w:rPr>
          <w:bCs/>
        </w:rPr>
        <w:t>+</w:t>
      </w:r>
      <w:r>
        <w:rPr>
          <w:bCs/>
        </w:rPr>
        <w:t>12]dB.</w:t>
      </w:r>
      <w:r w:rsidR="00937907">
        <w:rPr>
          <w:bCs/>
        </w:rPr>
        <w:t xml:space="preserve">It is worth noting that </w:t>
      </w:r>
      <w:r>
        <w:rPr>
          <w:bCs/>
        </w:rPr>
        <w:t xml:space="preserve"> knowing the </w:t>
      </w:r>
      <w:r w:rsidR="003E5FF0">
        <w:rPr>
          <w:bCs/>
        </w:rPr>
        <w:t xml:space="preserve">number of </w:t>
      </w:r>
      <w:r>
        <w:rPr>
          <w:bCs/>
        </w:rPr>
        <w:t>CRS port</w:t>
      </w:r>
      <w:r w:rsidR="003E5FF0">
        <w:rPr>
          <w:bCs/>
        </w:rPr>
        <w:t>s</w:t>
      </w:r>
      <w:r w:rsidR="00947A0A">
        <w:rPr>
          <w:bCs/>
        </w:rPr>
        <w:t xml:space="preserve"> alone</w:t>
      </w:r>
      <w:r>
        <w:rPr>
          <w:bCs/>
        </w:rPr>
        <w:t xml:space="preserve"> is not sufficient to estimate the RSS power.</w:t>
      </w:r>
      <w:r w:rsidR="00947A0A">
        <w:rPr>
          <w:bCs/>
        </w:rPr>
        <w:t xml:space="preserve"> </w:t>
      </w:r>
      <w:r w:rsidR="00FC38EB">
        <w:rPr>
          <w:bCs/>
        </w:rPr>
        <w:t xml:space="preserve">For a complete view of the RSS EPRE of the neighbor cell, the 48 combinations across </w:t>
      </w:r>
      <m:oMath>
        <m:r>
          <w:rPr>
            <w:rFonts w:ascii="Cambria Math" w:hAnsi="Cambria Math"/>
          </w:rPr>
          <m:t xml:space="preserve">{p, </m:t>
        </m:r>
        <m:sSub>
          <m:sSubPr>
            <m:ctrlPr>
              <w:rPr>
                <w:rFonts w:ascii="Cambria Math" w:hAnsi="Cambria Math"/>
                <w:bCs/>
                <w:i/>
              </w:rPr>
            </m:ctrlPr>
          </m:sSubPr>
          <m:e>
            <m:r>
              <w:rPr>
                <w:rFonts w:ascii="Cambria Math" w:hAnsi="Cambria Math"/>
              </w:rPr>
              <m:t>P</m:t>
            </m:r>
          </m:e>
          <m:sub>
            <m:r>
              <w:rPr>
                <w:rFonts w:ascii="Cambria Math" w:hAnsi="Cambria Math"/>
              </w:rPr>
              <m:t>B</m:t>
            </m:r>
          </m:sub>
        </m:sSub>
        <m:r>
          <w:rPr>
            <w:rFonts w:ascii="Cambria Math" w:hAnsi="Cambria Math"/>
          </w:rPr>
          <m:t>,powerBoost}</m:t>
        </m:r>
      </m:oMath>
      <w:r w:rsidR="00FC38EB">
        <w:rPr>
          <w:bCs/>
        </w:rPr>
        <w:t xml:space="preserve"> need to be signaled, which takes 6 bits.</w:t>
      </w:r>
      <w:r>
        <w:rPr>
          <w:bCs/>
        </w:rPr>
        <w:t xml:space="preserve"> </w:t>
      </w:r>
    </w:p>
    <w:p w14:paraId="52A618C0" w14:textId="2DECC0A1" w:rsidR="003D2355" w:rsidRPr="003D2355" w:rsidRDefault="003D2355" w:rsidP="00703ECB">
      <w:pPr>
        <w:rPr>
          <w:bCs/>
        </w:rPr>
      </w:pPr>
      <w:r>
        <w:rPr>
          <w:bCs/>
        </w:rPr>
        <w:t xml:space="preserve">In the </w:t>
      </w:r>
      <w:r w:rsidR="00022E4D">
        <w:rPr>
          <w:bCs/>
        </w:rPr>
        <w:t xml:space="preserve">current specifications, in the </w:t>
      </w:r>
      <w:r>
        <w:rPr>
          <w:bCs/>
        </w:rPr>
        <w:t xml:space="preserve">neighbor cell list, there is </w:t>
      </w:r>
      <w:r w:rsidR="00703ECB">
        <w:rPr>
          <w:bCs/>
        </w:rPr>
        <w:t xml:space="preserve">a </w:t>
      </w:r>
      <w:r w:rsidRPr="003D2355">
        <w:rPr>
          <w:bCs/>
          <w:lang w:val="en-GB"/>
        </w:rPr>
        <w:t>Qoffset</w:t>
      </w:r>
      <w:r>
        <w:rPr>
          <w:bCs/>
        </w:rPr>
        <w:t xml:space="preserve"> configuration per neighbor cell, which is used for RSRP/RSRQ estimation for cell ranking. </w:t>
      </w:r>
      <w:r w:rsidR="00703ECB">
        <w:rPr>
          <w:bCs/>
        </w:rPr>
        <w:t>This Qoffset already indicates the CRS EPRE of the neighbor cell w.r.t the CRS of the serving cell.</w:t>
      </w:r>
      <w:r w:rsidR="007258BA">
        <w:rPr>
          <w:bCs/>
        </w:rPr>
        <w:t xml:space="preserve"> As a result, it is sufficient to only indicate the RSS EPRE of the neighbor cell w.r.t </w:t>
      </w:r>
      <w:r w:rsidR="000D1C72">
        <w:rPr>
          <w:bCs/>
        </w:rPr>
        <w:t xml:space="preserve">the </w:t>
      </w:r>
      <w:r w:rsidR="00022E4D">
        <w:rPr>
          <w:bCs/>
        </w:rPr>
        <w:t>neighbor</w:t>
      </w:r>
      <w:r w:rsidR="000D1C72">
        <w:rPr>
          <w:bCs/>
        </w:rPr>
        <w:t xml:space="preserve"> cell’s CRS</w:t>
      </w:r>
      <w:r w:rsidR="00022E4D">
        <w:rPr>
          <w:bCs/>
        </w:rPr>
        <w:t>,</w:t>
      </w:r>
      <w:r w:rsidR="000D1C72">
        <w:rPr>
          <w:bCs/>
        </w:rPr>
        <w:t xml:space="preserve"> </w:t>
      </w:r>
      <w:r w:rsidR="000D1C72">
        <w:rPr>
          <w:bCs/>
        </w:rPr>
        <w:lastRenderedPageBreak/>
        <w:t>for the UE to be able to accurately use the RSS of the neighbor cell for performing measurements.</w:t>
      </w:r>
      <w:r w:rsidR="00DC3FD8">
        <w:rPr>
          <w:bCs/>
        </w:rPr>
        <w:t xml:space="preserve"> This has the advantage that only a smaller range of values need to be indicated (i.e., only the range of values indicated in Table 1 below). </w:t>
      </w:r>
      <w:r w:rsidR="003B46A4">
        <w:rPr>
          <w:bCs/>
        </w:rPr>
        <w:t>To that end, o</w:t>
      </w:r>
      <w:r>
        <w:rPr>
          <w:bCs/>
        </w:rPr>
        <w:t xml:space="preserve">n top of </w:t>
      </w:r>
      <w:r w:rsidR="00C018B6">
        <w:rPr>
          <w:bCs/>
        </w:rPr>
        <w:t>Qoffset</w:t>
      </w:r>
      <w:r>
        <w:rPr>
          <w:bCs/>
        </w:rPr>
        <w:t xml:space="preserve">, we introduce the </w:t>
      </w:r>
      <w:r w:rsidR="00C018B6">
        <w:rPr>
          <w:bCs/>
        </w:rPr>
        <w:t xml:space="preserve">RSS </w:t>
      </w:r>
      <w:r>
        <w:rPr>
          <w:bCs/>
        </w:rPr>
        <w:t>offset</w:t>
      </w:r>
      <w:r w:rsidR="00C018B6">
        <w:rPr>
          <w:bCs/>
        </w:rPr>
        <w:t xml:space="preserve">, indicating the RSS ERPE relative to the CRS ERPE per neighbor cell. </w:t>
      </w:r>
      <w:r w:rsidR="00BF6C00">
        <w:rPr>
          <w:bCs/>
        </w:rPr>
        <w:t>Moreover, f</w:t>
      </w:r>
      <w:r w:rsidR="00C018B6">
        <w:rPr>
          <w:bCs/>
        </w:rPr>
        <w:t xml:space="preserve">or </w:t>
      </w:r>
      <w:r w:rsidR="00C018B6" w:rsidRPr="00C018B6">
        <w:rPr>
          <w:bCs/>
        </w:rPr>
        <w:t>certain ratios</w:t>
      </w:r>
      <w:r w:rsidR="00C018B6">
        <w:rPr>
          <w:bCs/>
        </w:rPr>
        <w:t xml:space="preserve"> of </w:t>
      </w:r>
      <w:r w:rsidR="00C018B6" w:rsidRPr="00C018B6">
        <w:rPr>
          <w:bCs/>
        </w:rPr>
        <w:t xml:space="preserve"> </w:t>
      </w:r>
      <m:oMath>
        <m:f>
          <m:fPr>
            <m:ctrlPr>
              <w:rPr>
                <w:rFonts w:ascii="Cambria Math" w:hAnsi="Cambria Math"/>
                <w:bCs/>
                <w:i/>
                <w:iCs/>
              </w:rPr>
            </m:ctrlPr>
          </m:fPr>
          <m:num>
            <m:sSub>
              <m:sSubPr>
                <m:ctrlPr>
                  <w:rPr>
                    <w:rFonts w:ascii="Cambria Math" w:hAnsi="Cambria Math"/>
                    <w:bCs/>
                    <w:i/>
                    <w:iCs/>
                  </w:rPr>
                </m:ctrlPr>
              </m:sSubPr>
              <m:e>
                <m:r>
                  <w:rPr>
                    <w:rFonts w:ascii="Cambria Math" w:hAnsi="Cambria Math"/>
                  </w:rPr>
                  <m:t>ρ</m:t>
                </m:r>
              </m:e>
              <m:sub>
                <m:r>
                  <w:rPr>
                    <w:rFonts w:ascii="Cambria Math" w:hAnsi="Cambria Math"/>
                  </w:rPr>
                  <m:t>A</m:t>
                </m:r>
              </m:sub>
            </m:sSub>
          </m:num>
          <m:den>
            <m:sSub>
              <m:sSubPr>
                <m:ctrlPr>
                  <w:rPr>
                    <w:rFonts w:ascii="Cambria Math" w:hAnsi="Cambria Math"/>
                    <w:bCs/>
                    <w:i/>
                    <w:iCs/>
                  </w:rPr>
                </m:ctrlPr>
              </m:sSubPr>
              <m:e>
                <m:r>
                  <w:rPr>
                    <w:rFonts w:ascii="Cambria Math" w:hAnsi="Cambria Math"/>
                  </w:rPr>
                  <m:t>ρ</m:t>
                </m:r>
              </m:e>
              <m:sub>
                <m:r>
                  <w:rPr>
                    <w:rFonts w:ascii="Cambria Math" w:hAnsi="Cambria Math"/>
                  </w:rPr>
                  <m:t>B</m:t>
                </m:r>
              </m:sub>
            </m:sSub>
          </m:den>
        </m:f>
      </m:oMath>
      <w:r w:rsidR="00C018B6">
        <w:rPr>
          <w:bCs/>
          <w:iCs/>
        </w:rPr>
        <w:t xml:space="preserve">, e.g., </w:t>
      </w:r>
      <m:oMath>
        <m:f>
          <m:fPr>
            <m:ctrlPr>
              <w:rPr>
                <w:rFonts w:ascii="Cambria Math" w:hAnsi="Cambria Math"/>
                <w:bCs/>
                <w:i/>
                <w:iCs/>
              </w:rPr>
            </m:ctrlPr>
          </m:fPr>
          <m:num>
            <m:sSub>
              <m:sSubPr>
                <m:ctrlPr>
                  <w:rPr>
                    <w:rFonts w:ascii="Cambria Math" w:hAnsi="Cambria Math"/>
                    <w:bCs/>
                    <w:i/>
                    <w:iCs/>
                  </w:rPr>
                </m:ctrlPr>
              </m:sSubPr>
              <m:e>
                <m:r>
                  <w:rPr>
                    <w:rFonts w:ascii="Cambria Math" w:hAnsi="Cambria Math"/>
                  </w:rPr>
                  <m:t>ρ</m:t>
                </m:r>
              </m:e>
              <m:sub>
                <m:r>
                  <w:rPr>
                    <w:rFonts w:ascii="Cambria Math" w:hAnsi="Cambria Math"/>
                  </w:rPr>
                  <m:t>A</m:t>
                </m:r>
              </m:sub>
            </m:sSub>
          </m:num>
          <m:den>
            <m:sSub>
              <m:sSubPr>
                <m:ctrlPr>
                  <w:rPr>
                    <w:rFonts w:ascii="Cambria Math" w:hAnsi="Cambria Math"/>
                    <w:bCs/>
                    <w:i/>
                    <w:iCs/>
                  </w:rPr>
                </m:ctrlPr>
              </m:sSubPr>
              <m:e>
                <m:r>
                  <w:rPr>
                    <w:rFonts w:ascii="Cambria Math" w:hAnsi="Cambria Math"/>
                  </w:rPr>
                  <m:t>ρ</m:t>
                </m:r>
              </m:e>
              <m:sub>
                <m:r>
                  <w:rPr>
                    <w:rFonts w:ascii="Cambria Math" w:hAnsi="Cambria Math"/>
                  </w:rPr>
                  <m:t>B</m:t>
                </m:r>
              </m:sub>
            </m:sSub>
          </m:den>
        </m:f>
        <m:r>
          <w:rPr>
            <w:rFonts w:ascii="Cambria Math" w:hAnsi="Cambria Math"/>
          </w:rPr>
          <m:t>&lt;1/2</m:t>
        </m:r>
      </m:oMath>
      <w:r w:rsidR="00C018B6">
        <w:rPr>
          <w:bCs/>
          <w:iCs/>
        </w:rPr>
        <w:t>, it means high CRS power boosting corresponding to very lower RSS ERPE</w:t>
      </w:r>
      <w:r w:rsidR="001A156F">
        <w:rPr>
          <w:bCs/>
          <w:iCs/>
        </w:rPr>
        <w:t xml:space="preserve">, which results in relatively inaccurate </w:t>
      </w:r>
      <w:r w:rsidR="00C018B6">
        <w:rPr>
          <w:bCs/>
          <w:iCs/>
        </w:rPr>
        <w:t>RSS-based measurement. Therefore, it would be more useful to indicate RSS offset with</w:t>
      </w:r>
      <w:r w:rsidR="00BF6C00">
        <w:rPr>
          <w:bCs/>
          <w:iCs/>
        </w:rPr>
        <w:t>in a limited range</w:t>
      </w:r>
      <w:r w:rsidR="00C018B6">
        <w:rPr>
          <w:bCs/>
          <w:iCs/>
        </w:rPr>
        <w:t>, e.g., [-3:2:9]</w:t>
      </w:r>
      <w:r w:rsidR="000F3A31">
        <w:rPr>
          <w:bCs/>
          <w:iCs/>
        </w:rPr>
        <w:t xml:space="preserve"> </w:t>
      </w:r>
      <w:r w:rsidR="00C018B6">
        <w:rPr>
          <w:bCs/>
          <w:iCs/>
        </w:rPr>
        <w:t xml:space="preserve">dB. The remaining one entry of </w:t>
      </w:r>
      <w:r w:rsidR="000F3A31">
        <w:rPr>
          <w:bCs/>
          <w:iCs/>
        </w:rPr>
        <w:t xml:space="preserve">the </w:t>
      </w:r>
      <w:r w:rsidR="00C018B6">
        <w:rPr>
          <w:bCs/>
          <w:iCs/>
        </w:rPr>
        <w:t>3</w:t>
      </w:r>
      <w:r w:rsidR="000F3A31">
        <w:rPr>
          <w:bCs/>
          <w:iCs/>
        </w:rPr>
        <w:t>-</w:t>
      </w:r>
      <w:r w:rsidR="00C018B6">
        <w:rPr>
          <w:bCs/>
          <w:iCs/>
        </w:rPr>
        <w:t>bit</w:t>
      </w:r>
      <w:r w:rsidR="000F3A31">
        <w:rPr>
          <w:bCs/>
          <w:iCs/>
        </w:rPr>
        <w:t xml:space="preserve"> signal</w:t>
      </w:r>
      <w:r w:rsidR="00BA7A36">
        <w:rPr>
          <w:bCs/>
          <w:iCs/>
        </w:rPr>
        <w:t>led</w:t>
      </w:r>
      <w:r w:rsidR="00C018B6">
        <w:rPr>
          <w:bCs/>
          <w:iCs/>
        </w:rPr>
        <w:t xml:space="preserve"> </w:t>
      </w:r>
      <w:r w:rsidR="00B108BB">
        <w:rPr>
          <w:bCs/>
          <w:iCs/>
        </w:rPr>
        <w:t xml:space="preserve">entity </w:t>
      </w:r>
      <w:r w:rsidR="00C018B6">
        <w:rPr>
          <w:bCs/>
          <w:iCs/>
        </w:rPr>
        <w:t>can be used to indicate</w:t>
      </w:r>
      <w:r w:rsidR="00B108BB">
        <w:rPr>
          <w:bCs/>
          <w:iCs/>
        </w:rPr>
        <w:t xml:space="preserve"> that</w:t>
      </w:r>
      <w:r w:rsidR="00C018B6">
        <w:rPr>
          <w:bCs/>
          <w:iCs/>
        </w:rPr>
        <w:t xml:space="preserve"> the RSS is not used for </w:t>
      </w:r>
      <w:r w:rsidR="00B108BB">
        <w:rPr>
          <w:bCs/>
          <w:iCs/>
        </w:rPr>
        <w:t xml:space="preserve">performing </w:t>
      </w:r>
      <w:r w:rsidR="00C018B6">
        <w:rPr>
          <w:bCs/>
          <w:iCs/>
        </w:rPr>
        <w:t>measurement</w:t>
      </w:r>
      <w:r w:rsidR="00B108BB">
        <w:rPr>
          <w:bCs/>
          <w:iCs/>
        </w:rPr>
        <w:t>s</w:t>
      </w:r>
      <w:r w:rsidR="00C018B6">
        <w:rPr>
          <w:bCs/>
          <w:iCs/>
        </w:rPr>
        <w:t xml:space="preserve">. </w:t>
      </w:r>
    </w:p>
    <w:p w14:paraId="017EBD52" w14:textId="48464F10" w:rsidR="003D2355" w:rsidRPr="000E2EB7" w:rsidRDefault="00C018B6" w:rsidP="00703ECB">
      <w:pPr>
        <w:jc w:val="center"/>
        <w:rPr>
          <w:bCs/>
        </w:rPr>
      </w:pPr>
      <w:r>
        <w:rPr>
          <w:bCs/>
        </w:rPr>
        <w:t>Table 1</w:t>
      </w:r>
      <w:r w:rsidR="00E521DA">
        <w:rPr>
          <w:bCs/>
        </w:rPr>
        <w:t>:</w:t>
      </w:r>
      <w:r>
        <w:rPr>
          <w:bCs/>
        </w:rPr>
        <w:t xml:space="preserve"> RSS ERPE relative to CRS EPRE</w:t>
      </w:r>
    </w:p>
    <w:tbl>
      <w:tblPr>
        <w:tblW w:w="8350" w:type="dxa"/>
        <w:jc w:val="center"/>
        <w:tblLook w:val="04A0" w:firstRow="1" w:lastRow="0" w:firstColumn="1" w:lastColumn="0" w:noHBand="0" w:noVBand="1"/>
      </w:tblPr>
      <w:tblGrid>
        <w:gridCol w:w="660"/>
        <w:gridCol w:w="828"/>
        <w:gridCol w:w="940"/>
        <w:gridCol w:w="1722"/>
        <w:gridCol w:w="1163"/>
        <w:gridCol w:w="948"/>
        <w:gridCol w:w="1056"/>
        <w:gridCol w:w="1033"/>
      </w:tblGrid>
      <w:tr w:rsidR="00C018B6" w:rsidRPr="003D2355" w14:paraId="6A629EE8" w14:textId="77777777" w:rsidTr="00BB2624">
        <w:trPr>
          <w:trHeight w:val="375"/>
          <w:jc w:val="center"/>
        </w:trPr>
        <w:tc>
          <w:tcPr>
            <w:tcW w:w="660" w:type="dxa"/>
            <w:tcBorders>
              <w:top w:val="nil"/>
              <w:left w:val="nil"/>
              <w:bottom w:val="nil"/>
              <w:right w:val="nil"/>
            </w:tcBorders>
            <w:shd w:val="clear" w:color="auto" w:fill="8EAADB" w:themeFill="accent1" w:themeFillTint="99"/>
            <w:noWrap/>
            <w:vAlign w:val="bottom"/>
            <w:hideMark/>
          </w:tcPr>
          <w:p w14:paraId="7CFE9213" w14:textId="30E31A8E" w:rsidR="00983029" w:rsidRPr="00703ECB" w:rsidRDefault="003D2355" w:rsidP="00703ECB">
            <w:pPr>
              <w:overflowPunct/>
              <w:autoSpaceDE/>
              <w:autoSpaceDN/>
              <w:adjustRightInd/>
              <w:snapToGrid w:val="0"/>
              <w:spacing w:after="0"/>
              <w:textAlignment w:val="auto"/>
              <w:rPr>
                <w:bCs/>
              </w:rPr>
            </w:pPr>
            <w:r>
              <w:rPr>
                <w:bCs/>
              </w:rPr>
              <w:t xml:space="preserve">   </w:t>
            </w:r>
          </w:p>
        </w:tc>
        <w:tc>
          <w:tcPr>
            <w:tcW w:w="828"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bottom"/>
            <w:hideMark/>
          </w:tcPr>
          <w:p w14:paraId="4D36D0D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940" w:type="dxa"/>
            <w:tcBorders>
              <w:top w:val="single" w:sz="4" w:space="0" w:color="auto"/>
              <w:left w:val="nil"/>
              <w:bottom w:val="single" w:sz="4" w:space="0" w:color="auto"/>
              <w:right w:val="single" w:sz="4" w:space="0" w:color="auto"/>
            </w:tcBorders>
            <w:shd w:val="clear" w:color="auto" w:fill="8EAADB" w:themeFill="accent1" w:themeFillTint="99"/>
            <w:noWrap/>
            <w:vAlign w:val="bottom"/>
            <w:hideMark/>
          </w:tcPr>
          <w:p w14:paraId="4AF5F41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722" w:type="dxa"/>
            <w:tcBorders>
              <w:top w:val="single" w:sz="4" w:space="0" w:color="auto"/>
              <w:left w:val="nil"/>
              <w:bottom w:val="single" w:sz="4" w:space="0" w:color="auto"/>
              <w:right w:val="single" w:sz="4" w:space="0" w:color="auto"/>
            </w:tcBorders>
            <w:shd w:val="clear" w:color="auto" w:fill="8EAADB" w:themeFill="accent1" w:themeFillTint="99"/>
            <w:noWrap/>
            <w:vAlign w:val="bottom"/>
            <w:hideMark/>
          </w:tcPr>
          <w:p w14:paraId="58A2BE9F" w14:textId="01A4EF62" w:rsidR="00983029" w:rsidRPr="00703ECB" w:rsidRDefault="003D2355" w:rsidP="00703ECB">
            <w:pPr>
              <w:overflowPunct/>
              <w:autoSpaceDE/>
              <w:autoSpaceDN/>
              <w:adjustRightInd/>
              <w:snapToGrid w:val="0"/>
              <w:spacing w:after="0"/>
              <w:jc w:val="center"/>
              <w:textAlignment w:val="auto"/>
              <w:rPr>
                <w:bCs/>
              </w:rPr>
            </w:pPr>
            <m:oMath>
              <m:r>
                <w:rPr>
                  <w:rFonts w:ascii="Cambria Math" w:hAnsi="Cambria Math"/>
                </w:rPr>
                <m:t>p</m:t>
              </m:r>
            </m:oMath>
            <w:r>
              <w:rPr>
                <w:bCs/>
              </w:rPr>
              <w:t>=1</w:t>
            </w:r>
          </w:p>
        </w:tc>
        <w:tc>
          <w:tcPr>
            <w:tcW w:w="4200" w:type="dxa"/>
            <w:gridSpan w:val="4"/>
            <w:tcBorders>
              <w:top w:val="single" w:sz="4" w:space="0" w:color="auto"/>
              <w:left w:val="nil"/>
              <w:bottom w:val="single" w:sz="4" w:space="0" w:color="auto"/>
              <w:right w:val="single" w:sz="4" w:space="0" w:color="000000"/>
            </w:tcBorders>
            <w:shd w:val="clear" w:color="auto" w:fill="8EAADB" w:themeFill="accent1" w:themeFillTint="99"/>
            <w:noWrap/>
            <w:vAlign w:val="bottom"/>
            <w:hideMark/>
          </w:tcPr>
          <w:p w14:paraId="7677BB8A" w14:textId="1411FC13" w:rsidR="00983029" w:rsidRPr="00703ECB" w:rsidRDefault="006F721E" w:rsidP="00703ECB">
            <w:pPr>
              <w:overflowPunct/>
              <w:autoSpaceDE/>
              <w:autoSpaceDN/>
              <w:adjustRightInd/>
              <w:snapToGrid w:val="0"/>
              <w:spacing w:after="0"/>
              <w:jc w:val="center"/>
              <w:textAlignment w:val="auto"/>
              <w:rPr>
                <w:bCs/>
              </w:rPr>
            </w:pPr>
            <w:r w:rsidRPr="006F721E">
              <w:rPr>
                <w:bCs/>
                <w:i/>
              </w:rPr>
              <w:t>powerBoost</w:t>
            </w:r>
            <w:r>
              <w:rPr>
                <w:bCs/>
                <w:i/>
              </w:rPr>
              <w:t xml:space="preserve"> </w:t>
            </w:r>
            <w:r w:rsidRPr="006F721E">
              <w:rPr>
                <w:bCs/>
              </w:rPr>
              <w:t>for RSS</w:t>
            </w:r>
          </w:p>
        </w:tc>
      </w:tr>
      <w:tr w:rsidR="00C018B6" w:rsidRPr="003D2355" w14:paraId="6476D16E" w14:textId="77777777" w:rsidTr="00BB2624">
        <w:trPr>
          <w:trHeight w:val="300"/>
          <w:jc w:val="center"/>
        </w:trPr>
        <w:tc>
          <w:tcPr>
            <w:tcW w:w="660"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bottom"/>
            <w:hideMark/>
          </w:tcPr>
          <w:p w14:paraId="64771B32" w14:textId="23375E6C" w:rsidR="00983029" w:rsidRPr="00703ECB" w:rsidRDefault="00346F25" w:rsidP="00703ECB">
            <w:pPr>
              <w:overflowPunct/>
              <w:autoSpaceDE/>
              <w:autoSpaceDN/>
              <w:adjustRightInd/>
              <w:snapToGrid w:val="0"/>
              <w:spacing w:after="0"/>
              <w:jc w:val="center"/>
              <w:textAlignment w:val="auto"/>
              <w:rPr>
                <w:bCs/>
              </w:rPr>
            </w:pPr>
            <m:oMathPara>
              <m:oMath>
                <m:sSub>
                  <m:sSubPr>
                    <m:ctrlPr>
                      <w:rPr>
                        <w:rFonts w:ascii="Cambria Math" w:hAnsi="Cambria Math"/>
                        <w:bCs/>
                        <w:i/>
                        <w:iCs/>
                      </w:rPr>
                    </m:ctrlPr>
                  </m:sSubPr>
                  <m:e>
                    <m:r>
                      <w:rPr>
                        <w:rFonts w:ascii="Cambria Math" w:hAnsi="Cambria Math"/>
                      </w:rPr>
                      <m:t>P</m:t>
                    </m:r>
                  </m:e>
                  <m:sub>
                    <m:r>
                      <w:rPr>
                        <w:rFonts w:ascii="Cambria Math" w:hAnsi="Cambria Math"/>
                      </w:rPr>
                      <m:t>B</m:t>
                    </m:r>
                  </m:sub>
                </m:sSub>
              </m:oMath>
            </m:oMathPara>
          </w:p>
        </w:tc>
        <w:tc>
          <w:tcPr>
            <w:tcW w:w="828" w:type="dxa"/>
            <w:tcBorders>
              <w:top w:val="nil"/>
              <w:left w:val="nil"/>
              <w:bottom w:val="single" w:sz="4" w:space="0" w:color="auto"/>
              <w:right w:val="single" w:sz="4" w:space="0" w:color="auto"/>
            </w:tcBorders>
            <w:shd w:val="clear" w:color="auto" w:fill="8EAADB" w:themeFill="accent1" w:themeFillTint="99"/>
            <w:noWrap/>
            <w:vAlign w:val="bottom"/>
            <w:hideMark/>
          </w:tcPr>
          <w:p w14:paraId="485B431A" w14:textId="56486F6E" w:rsidR="00983029" w:rsidRPr="00703ECB" w:rsidRDefault="00346F25" w:rsidP="00703ECB">
            <w:pPr>
              <w:overflowPunct/>
              <w:autoSpaceDE/>
              <w:autoSpaceDN/>
              <w:adjustRightInd/>
              <w:snapToGrid w:val="0"/>
              <w:spacing w:after="0"/>
              <w:jc w:val="center"/>
              <w:textAlignment w:val="auto"/>
              <w:rPr>
                <w:bCs/>
              </w:rPr>
            </w:pPr>
            <m:oMathPara>
              <m:oMath>
                <m:sSubSup>
                  <m:sSubSupPr>
                    <m:ctrlPr>
                      <w:rPr>
                        <w:rFonts w:ascii="Cambria Math" w:hAnsi="Cambria Math"/>
                        <w:bCs/>
                        <w:i/>
                        <w:iCs/>
                      </w:rPr>
                    </m:ctrlPr>
                  </m:sSubSupPr>
                  <m:e>
                    <m:r>
                      <w:rPr>
                        <w:rFonts w:ascii="Cambria Math" w:hAnsi="Cambria Math"/>
                      </w:rPr>
                      <m:t>ρ</m:t>
                    </m:r>
                  </m:e>
                  <m:sub>
                    <m:r>
                      <w:rPr>
                        <w:rFonts w:ascii="Cambria Math" w:hAnsi="Cambria Math"/>
                      </w:rPr>
                      <m:t>A</m:t>
                    </m:r>
                  </m:sub>
                  <m:sup>
                    <m:r>
                      <w:rPr>
                        <w:rFonts w:ascii="Cambria Math" w:hAnsi="Cambria Math"/>
                      </w:rPr>
                      <m:t>d</m:t>
                    </m:r>
                  </m:sup>
                </m:sSubSup>
              </m:oMath>
            </m:oMathPara>
          </w:p>
        </w:tc>
        <w:tc>
          <w:tcPr>
            <w:tcW w:w="940" w:type="dxa"/>
            <w:tcBorders>
              <w:top w:val="nil"/>
              <w:left w:val="nil"/>
              <w:bottom w:val="single" w:sz="4" w:space="0" w:color="auto"/>
              <w:right w:val="single" w:sz="4" w:space="0" w:color="auto"/>
            </w:tcBorders>
            <w:shd w:val="clear" w:color="auto" w:fill="8EAADB" w:themeFill="accent1" w:themeFillTint="99"/>
            <w:noWrap/>
            <w:vAlign w:val="bottom"/>
            <w:hideMark/>
          </w:tcPr>
          <w:p w14:paraId="702A1289" w14:textId="121BFB76" w:rsidR="00983029" w:rsidRPr="00703ECB" w:rsidRDefault="00346F25" w:rsidP="00703ECB">
            <w:pPr>
              <w:overflowPunct/>
              <w:autoSpaceDE/>
              <w:autoSpaceDN/>
              <w:adjustRightInd/>
              <w:snapToGrid w:val="0"/>
              <w:spacing w:after="0"/>
              <w:jc w:val="center"/>
              <w:textAlignment w:val="auto"/>
              <w:rPr>
                <w:bCs/>
              </w:rPr>
            </w:pPr>
            <m:oMathPara>
              <m:oMath>
                <m:sSubSup>
                  <m:sSubSupPr>
                    <m:ctrlPr>
                      <w:rPr>
                        <w:rFonts w:ascii="Cambria Math" w:hAnsi="Cambria Math"/>
                        <w:bCs/>
                        <w:i/>
                        <w:iCs/>
                      </w:rPr>
                    </m:ctrlPr>
                  </m:sSubSupPr>
                  <m:e>
                    <m:r>
                      <w:rPr>
                        <w:rFonts w:ascii="Cambria Math" w:hAnsi="Cambria Math"/>
                      </w:rPr>
                      <m:t>ρ</m:t>
                    </m:r>
                  </m:e>
                  <m:sub>
                    <m:r>
                      <w:rPr>
                        <w:rFonts w:ascii="Cambria Math" w:hAnsi="Cambria Math"/>
                      </w:rPr>
                      <m:t>B</m:t>
                    </m:r>
                  </m:sub>
                  <m:sup>
                    <m:r>
                      <w:rPr>
                        <w:rFonts w:ascii="Cambria Math" w:hAnsi="Cambria Math"/>
                      </w:rPr>
                      <m:t>d</m:t>
                    </m:r>
                  </m:sup>
                </m:sSubSup>
              </m:oMath>
            </m:oMathPara>
          </w:p>
        </w:tc>
        <w:tc>
          <w:tcPr>
            <w:tcW w:w="1722" w:type="dxa"/>
            <w:tcBorders>
              <w:top w:val="nil"/>
              <w:left w:val="nil"/>
              <w:bottom w:val="single" w:sz="4" w:space="0" w:color="auto"/>
              <w:right w:val="single" w:sz="4" w:space="0" w:color="auto"/>
            </w:tcBorders>
            <w:shd w:val="clear" w:color="auto" w:fill="8EAADB" w:themeFill="accent1" w:themeFillTint="99"/>
            <w:noWrap/>
            <w:vAlign w:val="bottom"/>
            <w:hideMark/>
          </w:tcPr>
          <w:p w14:paraId="191606A9" w14:textId="29F364AF" w:rsidR="00983029" w:rsidRPr="00703ECB" w:rsidRDefault="003D2355" w:rsidP="00703ECB">
            <w:pPr>
              <w:overflowPunct/>
              <w:autoSpaceDE/>
              <w:autoSpaceDN/>
              <w:adjustRightInd/>
              <w:snapToGrid w:val="0"/>
              <w:spacing w:after="0"/>
              <w:jc w:val="center"/>
              <w:textAlignment w:val="auto"/>
              <w:rPr>
                <w:bCs/>
              </w:rPr>
            </w:pPr>
            <m:oMathPara>
              <m:oMath>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bCs/>
                        <w:i/>
                        <w:iCs/>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bCs/>
                        <w:i/>
                        <w:iCs/>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oMath>
            </m:oMathPara>
          </w:p>
        </w:tc>
        <w:tc>
          <w:tcPr>
            <w:tcW w:w="1163" w:type="dxa"/>
            <w:tcBorders>
              <w:top w:val="nil"/>
              <w:left w:val="nil"/>
              <w:bottom w:val="single" w:sz="4" w:space="0" w:color="auto"/>
              <w:right w:val="single" w:sz="4" w:space="0" w:color="auto"/>
            </w:tcBorders>
            <w:shd w:val="clear" w:color="auto" w:fill="8EAADB" w:themeFill="accent1" w:themeFillTint="99"/>
            <w:noWrap/>
            <w:vAlign w:val="bottom"/>
            <w:hideMark/>
          </w:tcPr>
          <w:p w14:paraId="7D0A42A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0dB</w:t>
            </w:r>
          </w:p>
        </w:tc>
        <w:tc>
          <w:tcPr>
            <w:tcW w:w="948" w:type="dxa"/>
            <w:tcBorders>
              <w:top w:val="nil"/>
              <w:left w:val="nil"/>
              <w:bottom w:val="single" w:sz="4" w:space="0" w:color="auto"/>
              <w:right w:val="single" w:sz="4" w:space="0" w:color="auto"/>
            </w:tcBorders>
            <w:shd w:val="clear" w:color="auto" w:fill="8EAADB" w:themeFill="accent1" w:themeFillTint="99"/>
            <w:noWrap/>
            <w:vAlign w:val="bottom"/>
            <w:hideMark/>
          </w:tcPr>
          <w:p w14:paraId="0DAC08E4"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3dB</w:t>
            </w:r>
          </w:p>
        </w:tc>
        <w:tc>
          <w:tcPr>
            <w:tcW w:w="1056" w:type="dxa"/>
            <w:tcBorders>
              <w:top w:val="nil"/>
              <w:left w:val="nil"/>
              <w:bottom w:val="single" w:sz="4" w:space="0" w:color="auto"/>
              <w:right w:val="single" w:sz="4" w:space="0" w:color="auto"/>
            </w:tcBorders>
            <w:shd w:val="clear" w:color="auto" w:fill="8EAADB" w:themeFill="accent1" w:themeFillTint="99"/>
            <w:noWrap/>
            <w:vAlign w:val="bottom"/>
            <w:hideMark/>
          </w:tcPr>
          <w:p w14:paraId="1BDDCF0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4.8dB</w:t>
            </w:r>
          </w:p>
        </w:tc>
        <w:tc>
          <w:tcPr>
            <w:tcW w:w="1033" w:type="dxa"/>
            <w:tcBorders>
              <w:top w:val="nil"/>
              <w:left w:val="nil"/>
              <w:bottom w:val="single" w:sz="4" w:space="0" w:color="auto"/>
              <w:right w:val="single" w:sz="4" w:space="0" w:color="auto"/>
            </w:tcBorders>
            <w:shd w:val="clear" w:color="auto" w:fill="8EAADB" w:themeFill="accent1" w:themeFillTint="99"/>
            <w:noWrap/>
            <w:vAlign w:val="bottom"/>
            <w:hideMark/>
          </w:tcPr>
          <w:p w14:paraId="275AE10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6dB</w:t>
            </w:r>
          </w:p>
        </w:tc>
      </w:tr>
      <w:tr w:rsidR="003D2355" w:rsidRPr="003D2355" w14:paraId="311E2243"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D4D62A5"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w:t>
            </w:r>
          </w:p>
        </w:tc>
        <w:tc>
          <w:tcPr>
            <w:tcW w:w="828" w:type="dxa"/>
            <w:tcBorders>
              <w:top w:val="nil"/>
              <w:left w:val="nil"/>
              <w:bottom w:val="single" w:sz="4" w:space="0" w:color="auto"/>
              <w:right w:val="single" w:sz="4" w:space="0" w:color="auto"/>
            </w:tcBorders>
            <w:shd w:val="clear" w:color="auto" w:fill="auto"/>
            <w:noWrap/>
            <w:vAlign w:val="bottom"/>
            <w:hideMark/>
          </w:tcPr>
          <w:p w14:paraId="5CCE2D2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1    </w:t>
            </w:r>
          </w:p>
        </w:tc>
        <w:tc>
          <w:tcPr>
            <w:tcW w:w="940" w:type="dxa"/>
            <w:tcBorders>
              <w:top w:val="nil"/>
              <w:left w:val="nil"/>
              <w:bottom w:val="single" w:sz="4" w:space="0" w:color="auto"/>
              <w:right w:val="single" w:sz="4" w:space="0" w:color="auto"/>
            </w:tcBorders>
            <w:shd w:val="clear" w:color="auto" w:fill="auto"/>
            <w:noWrap/>
            <w:vAlign w:val="bottom"/>
            <w:hideMark/>
          </w:tcPr>
          <w:p w14:paraId="6CA8245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1    </w:t>
            </w:r>
          </w:p>
        </w:tc>
        <w:tc>
          <w:tcPr>
            <w:tcW w:w="1722" w:type="dxa"/>
            <w:tcBorders>
              <w:top w:val="nil"/>
              <w:left w:val="nil"/>
              <w:bottom w:val="single" w:sz="4" w:space="0" w:color="auto"/>
              <w:right w:val="single" w:sz="4" w:space="0" w:color="auto"/>
            </w:tcBorders>
            <w:shd w:val="clear" w:color="auto" w:fill="auto"/>
            <w:noWrap/>
            <w:vAlign w:val="bottom"/>
            <w:hideMark/>
          </w:tcPr>
          <w:p w14:paraId="0987D7C9"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1    </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3B6DDEF6"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0.00</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010F4BE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3.00</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42DF89CD"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4.80</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14B64FC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6.00</w:t>
            </w:r>
          </w:p>
        </w:tc>
      </w:tr>
      <w:tr w:rsidR="003D2355" w:rsidRPr="003D2355" w14:paraId="0E230FEC"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C152FF1"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w:t>
            </w:r>
          </w:p>
        </w:tc>
        <w:tc>
          <w:tcPr>
            <w:tcW w:w="828" w:type="dxa"/>
            <w:tcBorders>
              <w:top w:val="nil"/>
              <w:left w:val="nil"/>
              <w:bottom w:val="single" w:sz="4" w:space="0" w:color="auto"/>
              <w:right w:val="single" w:sz="4" w:space="0" w:color="auto"/>
            </w:tcBorders>
            <w:shd w:val="clear" w:color="auto" w:fill="auto"/>
            <w:noWrap/>
            <w:vAlign w:val="bottom"/>
            <w:hideMark/>
          </w:tcPr>
          <w:p w14:paraId="03DD14F5"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1/2</w:t>
            </w:r>
          </w:p>
        </w:tc>
        <w:tc>
          <w:tcPr>
            <w:tcW w:w="940" w:type="dxa"/>
            <w:tcBorders>
              <w:top w:val="nil"/>
              <w:left w:val="nil"/>
              <w:bottom w:val="single" w:sz="4" w:space="0" w:color="auto"/>
              <w:right w:val="single" w:sz="4" w:space="0" w:color="auto"/>
            </w:tcBorders>
            <w:shd w:val="clear" w:color="auto" w:fill="auto"/>
            <w:noWrap/>
            <w:vAlign w:val="bottom"/>
            <w:hideMark/>
          </w:tcPr>
          <w:p w14:paraId="5379BDC4"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2/5</w:t>
            </w:r>
          </w:p>
        </w:tc>
        <w:tc>
          <w:tcPr>
            <w:tcW w:w="1722" w:type="dxa"/>
            <w:tcBorders>
              <w:top w:val="nil"/>
              <w:left w:val="nil"/>
              <w:bottom w:val="single" w:sz="4" w:space="0" w:color="auto"/>
              <w:right w:val="single" w:sz="4" w:space="0" w:color="auto"/>
            </w:tcBorders>
            <w:shd w:val="clear" w:color="auto" w:fill="auto"/>
            <w:noWrap/>
            <w:vAlign w:val="bottom"/>
            <w:hideMark/>
          </w:tcPr>
          <w:p w14:paraId="0071DBF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2/5</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2B10BC25"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-3.98</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3C0EA55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-0.98</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18EAE8E5"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0.82</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06F55DFB"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2.02</w:t>
            </w:r>
          </w:p>
        </w:tc>
      </w:tr>
      <w:tr w:rsidR="003D2355" w:rsidRPr="003D2355" w14:paraId="3939CD4A"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2268AE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2</w:t>
            </w:r>
          </w:p>
        </w:tc>
        <w:tc>
          <w:tcPr>
            <w:tcW w:w="828" w:type="dxa"/>
            <w:tcBorders>
              <w:top w:val="nil"/>
              <w:left w:val="nil"/>
              <w:bottom w:val="single" w:sz="4" w:space="0" w:color="auto"/>
              <w:right w:val="single" w:sz="4" w:space="0" w:color="auto"/>
            </w:tcBorders>
            <w:shd w:val="clear" w:color="auto" w:fill="auto"/>
            <w:noWrap/>
            <w:vAlign w:val="bottom"/>
            <w:hideMark/>
          </w:tcPr>
          <w:p w14:paraId="4BAAB1C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1/3</w:t>
            </w:r>
          </w:p>
        </w:tc>
        <w:tc>
          <w:tcPr>
            <w:tcW w:w="940" w:type="dxa"/>
            <w:tcBorders>
              <w:top w:val="nil"/>
              <w:left w:val="nil"/>
              <w:bottom w:val="single" w:sz="4" w:space="0" w:color="auto"/>
              <w:right w:val="single" w:sz="4" w:space="0" w:color="auto"/>
            </w:tcBorders>
            <w:shd w:val="clear" w:color="auto" w:fill="auto"/>
            <w:noWrap/>
            <w:vAlign w:val="bottom"/>
            <w:hideMark/>
          </w:tcPr>
          <w:p w14:paraId="6E73099D"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1/5</w:t>
            </w:r>
          </w:p>
        </w:tc>
        <w:tc>
          <w:tcPr>
            <w:tcW w:w="1722" w:type="dxa"/>
            <w:tcBorders>
              <w:top w:val="nil"/>
              <w:left w:val="nil"/>
              <w:bottom w:val="single" w:sz="4" w:space="0" w:color="auto"/>
              <w:right w:val="single" w:sz="4" w:space="0" w:color="auto"/>
            </w:tcBorders>
            <w:shd w:val="clear" w:color="auto" w:fill="auto"/>
            <w:noWrap/>
            <w:vAlign w:val="bottom"/>
            <w:hideMark/>
          </w:tcPr>
          <w:p w14:paraId="4E44C29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1/5</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3EE942A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-6.99</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15AF559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-3.99</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02744A6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-2.19</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4257B14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-0.99</w:t>
            </w:r>
          </w:p>
        </w:tc>
      </w:tr>
      <w:tr w:rsidR="003D2355" w:rsidRPr="003D2355" w14:paraId="56E042D4"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985531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w:t>
            </w:r>
          </w:p>
        </w:tc>
        <w:tc>
          <w:tcPr>
            <w:tcW w:w="828" w:type="dxa"/>
            <w:tcBorders>
              <w:top w:val="nil"/>
              <w:left w:val="nil"/>
              <w:bottom w:val="single" w:sz="4" w:space="0" w:color="auto"/>
              <w:right w:val="single" w:sz="4" w:space="0" w:color="auto"/>
            </w:tcBorders>
            <w:shd w:val="clear" w:color="auto" w:fill="auto"/>
            <w:noWrap/>
            <w:vAlign w:val="bottom"/>
            <w:hideMark/>
          </w:tcPr>
          <w:p w14:paraId="0AD196F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1/4</w:t>
            </w:r>
          </w:p>
        </w:tc>
        <w:tc>
          <w:tcPr>
            <w:tcW w:w="940" w:type="dxa"/>
            <w:tcBorders>
              <w:top w:val="nil"/>
              <w:left w:val="nil"/>
              <w:bottom w:val="single" w:sz="4" w:space="0" w:color="auto"/>
              <w:right w:val="single" w:sz="4" w:space="0" w:color="auto"/>
            </w:tcBorders>
            <w:shd w:val="clear" w:color="auto" w:fill="auto"/>
            <w:noWrap/>
            <w:vAlign w:val="bottom"/>
            <w:hideMark/>
          </w:tcPr>
          <w:p w14:paraId="25983926"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0    </w:t>
            </w:r>
          </w:p>
        </w:tc>
        <w:tc>
          <w:tcPr>
            <w:tcW w:w="1722" w:type="dxa"/>
            <w:tcBorders>
              <w:top w:val="nil"/>
              <w:left w:val="nil"/>
              <w:bottom w:val="single" w:sz="4" w:space="0" w:color="auto"/>
              <w:right w:val="single" w:sz="4" w:space="0" w:color="auto"/>
            </w:tcBorders>
            <w:shd w:val="clear" w:color="auto" w:fill="auto"/>
            <w:noWrap/>
            <w:vAlign w:val="bottom"/>
            <w:hideMark/>
          </w:tcPr>
          <w:p w14:paraId="5BD536F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0    </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1DAAFC4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-10.00</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439DC38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-7.00</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1662FCAB"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-5.20</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6E83F1CD"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-4.00</w:t>
            </w:r>
          </w:p>
        </w:tc>
      </w:tr>
      <w:tr w:rsidR="00C018B6" w:rsidRPr="003D2355" w14:paraId="4DED7DC0" w14:textId="77777777" w:rsidTr="003D2355">
        <w:trPr>
          <w:trHeight w:val="300"/>
          <w:jc w:val="center"/>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470948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828" w:type="dxa"/>
            <w:tcBorders>
              <w:top w:val="nil"/>
              <w:left w:val="nil"/>
              <w:bottom w:val="single" w:sz="4" w:space="0" w:color="auto"/>
              <w:right w:val="single" w:sz="4" w:space="0" w:color="auto"/>
            </w:tcBorders>
            <w:shd w:val="clear" w:color="auto" w:fill="auto"/>
            <w:noWrap/>
            <w:vAlign w:val="bottom"/>
            <w:hideMark/>
          </w:tcPr>
          <w:p w14:paraId="1DFE22B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940" w:type="dxa"/>
            <w:tcBorders>
              <w:top w:val="nil"/>
              <w:left w:val="nil"/>
              <w:bottom w:val="single" w:sz="4" w:space="0" w:color="auto"/>
              <w:right w:val="single" w:sz="4" w:space="0" w:color="auto"/>
            </w:tcBorders>
            <w:shd w:val="clear" w:color="auto" w:fill="auto"/>
            <w:noWrap/>
            <w:vAlign w:val="bottom"/>
            <w:hideMark/>
          </w:tcPr>
          <w:p w14:paraId="3987422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722" w:type="dxa"/>
            <w:tcBorders>
              <w:top w:val="nil"/>
              <w:left w:val="nil"/>
              <w:bottom w:val="single" w:sz="4" w:space="0" w:color="auto"/>
              <w:right w:val="single" w:sz="4" w:space="0" w:color="auto"/>
            </w:tcBorders>
            <w:shd w:val="clear" w:color="auto" w:fill="auto"/>
            <w:noWrap/>
            <w:vAlign w:val="bottom"/>
            <w:hideMark/>
          </w:tcPr>
          <w:p w14:paraId="1502241F"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163" w:type="dxa"/>
            <w:tcBorders>
              <w:top w:val="nil"/>
              <w:left w:val="nil"/>
              <w:bottom w:val="single" w:sz="4" w:space="0" w:color="auto"/>
              <w:right w:val="single" w:sz="4" w:space="0" w:color="auto"/>
            </w:tcBorders>
            <w:shd w:val="clear" w:color="auto" w:fill="auto"/>
            <w:noWrap/>
            <w:vAlign w:val="bottom"/>
            <w:hideMark/>
          </w:tcPr>
          <w:p w14:paraId="0E306B1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948" w:type="dxa"/>
            <w:tcBorders>
              <w:top w:val="nil"/>
              <w:left w:val="nil"/>
              <w:bottom w:val="single" w:sz="4" w:space="0" w:color="auto"/>
              <w:right w:val="single" w:sz="4" w:space="0" w:color="auto"/>
            </w:tcBorders>
            <w:shd w:val="clear" w:color="auto" w:fill="auto"/>
            <w:noWrap/>
            <w:vAlign w:val="bottom"/>
            <w:hideMark/>
          </w:tcPr>
          <w:p w14:paraId="7289232D"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056" w:type="dxa"/>
            <w:tcBorders>
              <w:top w:val="nil"/>
              <w:left w:val="nil"/>
              <w:bottom w:val="single" w:sz="4" w:space="0" w:color="auto"/>
              <w:right w:val="single" w:sz="4" w:space="0" w:color="auto"/>
            </w:tcBorders>
            <w:shd w:val="clear" w:color="auto" w:fill="auto"/>
            <w:noWrap/>
            <w:vAlign w:val="bottom"/>
            <w:hideMark/>
          </w:tcPr>
          <w:p w14:paraId="12175CAD"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033" w:type="dxa"/>
            <w:tcBorders>
              <w:top w:val="nil"/>
              <w:left w:val="nil"/>
              <w:bottom w:val="single" w:sz="4" w:space="0" w:color="auto"/>
              <w:right w:val="single" w:sz="4" w:space="0" w:color="auto"/>
            </w:tcBorders>
            <w:shd w:val="clear" w:color="auto" w:fill="auto"/>
            <w:noWrap/>
            <w:vAlign w:val="bottom"/>
            <w:hideMark/>
          </w:tcPr>
          <w:p w14:paraId="254B1EE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r>
      <w:tr w:rsidR="00C018B6" w:rsidRPr="003D2355" w14:paraId="2BDBBC09" w14:textId="77777777" w:rsidTr="00BB2624">
        <w:trPr>
          <w:trHeight w:val="300"/>
          <w:jc w:val="center"/>
        </w:trPr>
        <w:tc>
          <w:tcPr>
            <w:tcW w:w="660" w:type="dxa"/>
            <w:tcBorders>
              <w:top w:val="nil"/>
              <w:left w:val="nil"/>
              <w:bottom w:val="nil"/>
              <w:right w:val="nil"/>
            </w:tcBorders>
            <w:shd w:val="clear" w:color="auto" w:fill="8EAADB" w:themeFill="accent1" w:themeFillTint="99"/>
            <w:noWrap/>
            <w:vAlign w:val="bottom"/>
            <w:hideMark/>
          </w:tcPr>
          <w:p w14:paraId="2AFE15EE" w14:textId="77777777" w:rsidR="003D2355" w:rsidRPr="00703ECB" w:rsidRDefault="003D2355" w:rsidP="00703ECB">
            <w:pPr>
              <w:overflowPunct/>
              <w:autoSpaceDE/>
              <w:autoSpaceDN/>
              <w:adjustRightInd/>
              <w:snapToGrid w:val="0"/>
              <w:spacing w:after="0"/>
              <w:jc w:val="center"/>
              <w:textAlignment w:val="auto"/>
              <w:rPr>
                <w:bCs/>
              </w:rPr>
            </w:pPr>
          </w:p>
        </w:tc>
        <w:tc>
          <w:tcPr>
            <w:tcW w:w="828" w:type="dxa"/>
            <w:tcBorders>
              <w:top w:val="nil"/>
              <w:left w:val="single" w:sz="4" w:space="0" w:color="auto"/>
              <w:bottom w:val="single" w:sz="4" w:space="0" w:color="auto"/>
              <w:right w:val="single" w:sz="4" w:space="0" w:color="auto"/>
            </w:tcBorders>
            <w:shd w:val="clear" w:color="auto" w:fill="8EAADB" w:themeFill="accent1" w:themeFillTint="99"/>
            <w:noWrap/>
            <w:vAlign w:val="bottom"/>
            <w:hideMark/>
          </w:tcPr>
          <w:p w14:paraId="709C0381" w14:textId="3148907F" w:rsidR="003D2355" w:rsidRPr="00703ECB" w:rsidRDefault="003D2355" w:rsidP="00703ECB">
            <w:pPr>
              <w:overflowPunct/>
              <w:autoSpaceDE/>
              <w:autoSpaceDN/>
              <w:adjustRightInd/>
              <w:snapToGrid w:val="0"/>
              <w:spacing w:after="0"/>
              <w:jc w:val="center"/>
              <w:textAlignment w:val="auto"/>
              <w:rPr>
                <w:bCs/>
              </w:rPr>
            </w:pPr>
            <w:r w:rsidRPr="001652BF">
              <w:rPr>
                <w:bCs/>
              </w:rPr>
              <w:t> </w:t>
            </w:r>
          </w:p>
        </w:tc>
        <w:tc>
          <w:tcPr>
            <w:tcW w:w="940" w:type="dxa"/>
            <w:tcBorders>
              <w:top w:val="nil"/>
              <w:left w:val="nil"/>
              <w:bottom w:val="single" w:sz="4" w:space="0" w:color="auto"/>
              <w:right w:val="single" w:sz="4" w:space="0" w:color="auto"/>
            </w:tcBorders>
            <w:shd w:val="clear" w:color="auto" w:fill="8EAADB" w:themeFill="accent1" w:themeFillTint="99"/>
            <w:noWrap/>
            <w:vAlign w:val="bottom"/>
            <w:hideMark/>
          </w:tcPr>
          <w:p w14:paraId="2C3F66F9" w14:textId="6100E8D5" w:rsidR="003D2355" w:rsidRPr="00703ECB" w:rsidRDefault="003D2355" w:rsidP="00703ECB">
            <w:pPr>
              <w:overflowPunct/>
              <w:autoSpaceDE/>
              <w:autoSpaceDN/>
              <w:adjustRightInd/>
              <w:snapToGrid w:val="0"/>
              <w:spacing w:after="0"/>
              <w:jc w:val="center"/>
              <w:textAlignment w:val="auto"/>
              <w:rPr>
                <w:bCs/>
              </w:rPr>
            </w:pPr>
            <w:r w:rsidRPr="001652BF">
              <w:rPr>
                <w:bCs/>
              </w:rPr>
              <w:t> </w:t>
            </w:r>
          </w:p>
        </w:tc>
        <w:tc>
          <w:tcPr>
            <w:tcW w:w="1722" w:type="dxa"/>
            <w:tcBorders>
              <w:top w:val="nil"/>
              <w:left w:val="nil"/>
              <w:bottom w:val="single" w:sz="4" w:space="0" w:color="auto"/>
              <w:right w:val="single" w:sz="4" w:space="0" w:color="auto"/>
            </w:tcBorders>
            <w:shd w:val="clear" w:color="auto" w:fill="8EAADB" w:themeFill="accent1" w:themeFillTint="99"/>
            <w:noWrap/>
            <w:vAlign w:val="bottom"/>
            <w:hideMark/>
          </w:tcPr>
          <w:p w14:paraId="175E22B8" w14:textId="58B6B5B2" w:rsidR="003D2355" w:rsidRPr="00703ECB" w:rsidRDefault="003D2355" w:rsidP="00703ECB">
            <w:pPr>
              <w:overflowPunct/>
              <w:autoSpaceDE/>
              <w:autoSpaceDN/>
              <w:adjustRightInd/>
              <w:snapToGrid w:val="0"/>
              <w:spacing w:after="0"/>
              <w:jc w:val="center"/>
              <w:textAlignment w:val="auto"/>
              <w:rPr>
                <w:bCs/>
              </w:rPr>
            </w:pPr>
            <m:oMath>
              <m:r>
                <w:rPr>
                  <w:rFonts w:ascii="Cambria Math" w:hAnsi="Cambria Math"/>
                </w:rPr>
                <m:t>p</m:t>
              </m:r>
            </m:oMath>
            <w:r>
              <w:rPr>
                <w:bCs/>
              </w:rPr>
              <w:t>=2</w:t>
            </w:r>
          </w:p>
        </w:tc>
        <w:tc>
          <w:tcPr>
            <w:tcW w:w="4200" w:type="dxa"/>
            <w:gridSpan w:val="4"/>
            <w:tcBorders>
              <w:top w:val="single" w:sz="4" w:space="0" w:color="auto"/>
              <w:left w:val="nil"/>
              <w:bottom w:val="single" w:sz="4" w:space="0" w:color="auto"/>
              <w:right w:val="single" w:sz="4" w:space="0" w:color="000000"/>
            </w:tcBorders>
            <w:shd w:val="clear" w:color="auto" w:fill="8EAADB" w:themeFill="accent1" w:themeFillTint="99"/>
            <w:noWrap/>
            <w:vAlign w:val="bottom"/>
            <w:hideMark/>
          </w:tcPr>
          <w:p w14:paraId="1166B288" w14:textId="11001BE7" w:rsidR="003D2355" w:rsidRPr="00703ECB" w:rsidRDefault="006F721E" w:rsidP="00703ECB">
            <w:pPr>
              <w:overflowPunct/>
              <w:autoSpaceDE/>
              <w:autoSpaceDN/>
              <w:adjustRightInd/>
              <w:snapToGrid w:val="0"/>
              <w:spacing w:after="0"/>
              <w:jc w:val="center"/>
              <w:textAlignment w:val="auto"/>
              <w:rPr>
                <w:bCs/>
              </w:rPr>
            </w:pPr>
            <w:r w:rsidRPr="006F721E">
              <w:rPr>
                <w:bCs/>
                <w:i/>
              </w:rPr>
              <w:t>powerBoost</w:t>
            </w:r>
            <w:r>
              <w:rPr>
                <w:bCs/>
                <w:i/>
              </w:rPr>
              <w:t xml:space="preserve"> </w:t>
            </w:r>
            <w:r w:rsidRPr="006F721E">
              <w:rPr>
                <w:bCs/>
              </w:rPr>
              <w:t>for RSS</w:t>
            </w:r>
          </w:p>
        </w:tc>
      </w:tr>
      <w:tr w:rsidR="003D2355" w:rsidRPr="003D2355" w14:paraId="7F22E4C5" w14:textId="77777777" w:rsidTr="00BB2624">
        <w:trPr>
          <w:trHeight w:val="300"/>
          <w:jc w:val="center"/>
        </w:trPr>
        <w:tc>
          <w:tcPr>
            <w:tcW w:w="660"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bottom"/>
            <w:hideMark/>
          </w:tcPr>
          <w:p w14:paraId="27C97AB1" w14:textId="56E9763B" w:rsidR="003D2355" w:rsidRPr="00703ECB" w:rsidRDefault="00346F25" w:rsidP="00703ECB">
            <w:pPr>
              <w:overflowPunct/>
              <w:autoSpaceDE/>
              <w:autoSpaceDN/>
              <w:adjustRightInd/>
              <w:snapToGrid w:val="0"/>
              <w:spacing w:after="0"/>
              <w:jc w:val="center"/>
              <w:textAlignment w:val="auto"/>
              <w:rPr>
                <w:bCs/>
              </w:rPr>
            </w:pPr>
            <m:oMathPara>
              <m:oMath>
                <m:sSub>
                  <m:sSubPr>
                    <m:ctrlPr>
                      <w:rPr>
                        <w:rFonts w:ascii="Cambria Math" w:hAnsi="Cambria Math"/>
                        <w:bCs/>
                        <w:i/>
                        <w:iCs/>
                      </w:rPr>
                    </m:ctrlPr>
                  </m:sSubPr>
                  <m:e>
                    <m:r>
                      <w:rPr>
                        <w:rFonts w:ascii="Cambria Math" w:hAnsi="Cambria Math"/>
                      </w:rPr>
                      <m:t>P</m:t>
                    </m:r>
                  </m:e>
                  <m:sub>
                    <m:r>
                      <w:rPr>
                        <w:rFonts w:ascii="Cambria Math" w:hAnsi="Cambria Math"/>
                      </w:rPr>
                      <m:t>B</m:t>
                    </m:r>
                  </m:sub>
                </m:sSub>
              </m:oMath>
            </m:oMathPara>
          </w:p>
        </w:tc>
        <w:tc>
          <w:tcPr>
            <w:tcW w:w="828" w:type="dxa"/>
            <w:tcBorders>
              <w:top w:val="nil"/>
              <w:left w:val="nil"/>
              <w:bottom w:val="single" w:sz="4" w:space="0" w:color="auto"/>
              <w:right w:val="single" w:sz="4" w:space="0" w:color="auto"/>
            </w:tcBorders>
            <w:shd w:val="clear" w:color="auto" w:fill="8EAADB" w:themeFill="accent1" w:themeFillTint="99"/>
            <w:noWrap/>
            <w:vAlign w:val="bottom"/>
            <w:hideMark/>
          </w:tcPr>
          <w:p w14:paraId="77748E79" w14:textId="4E2B9C48" w:rsidR="003D2355" w:rsidRPr="00703ECB" w:rsidRDefault="00346F25" w:rsidP="00703ECB">
            <w:pPr>
              <w:overflowPunct/>
              <w:autoSpaceDE/>
              <w:autoSpaceDN/>
              <w:adjustRightInd/>
              <w:snapToGrid w:val="0"/>
              <w:spacing w:after="0"/>
              <w:jc w:val="center"/>
              <w:textAlignment w:val="auto"/>
              <w:rPr>
                <w:bCs/>
              </w:rPr>
            </w:pPr>
            <m:oMathPara>
              <m:oMath>
                <m:sSubSup>
                  <m:sSubSupPr>
                    <m:ctrlPr>
                      <w:rPr>
                        <w:rFonts w:ascii="Cambria Math" w:hAnsi="Cambria Math"/>
                        <w:bCs/>
                        <w:i/>
                        <w:iCs/>
                      </w:rPr>
                    </m:ctrlPr>
                  </m:sSubSupPr>
                  <m:e>
                    <m:r>
                      <w:rPr>
                        <w:rFonts w:ascii="Cambria Math" w:hAnsi="Cambria Math"/>
                      </w:rPr>
                      <m:t>ρ</m:t>
                    </m:r>
                  </m:e>
                  <m:sub>
                    <m:r>
                      <w:rPr>
                        <w:rFonts w:ascii="Cambria Math" w:hAnsi="Cambria Math"/>
                      </w:rPr>
                      <m:t>A</m:t>
                    </m:r>
                  </m:sub>
                  <m:sup>
                    <m:r>
                      <w:rPr>
                        <w:rFonts w:ascii="Cambria Math" w:hAnsi="Cambria Math"/>
                      </w:rPr>
                      <m:t>d</m:t>
                    </m:r>
                  </m:sup>
                </m:sSubSup>
              </m:oMath>
            </m:oMathPara>
          </w:p>
        </w:tc>
        <w:tc>
          <w:tcPr>
            <w:tcW w:w="940" w:type="dxa"/>
            <w:tcBorders>
              <w:top w:val="nil"/>
              <w:left w:val="nil"/>
              <w:bottom w:val="single" w:sz="4" w:space="0" w:color="auto"/>
              <w:right w:val="single" w:sz="4" w:space="0" w:color="auto"/>
            </w:tcBorders>
            <w:shd w:val="clear" w:color="auto" w:fill="8EAADB" w:themeFill="accent1" w:themeFillTint="99"/>
            <w:noWrap/>
            <w:vAlign w:val="bottom"/>
            <w:hideMark/>
          </w:tcPr>
          <w:p w14:paraId="4D8A9E4F" w14:textId="6C47D117" w:rsidR="003D2355" w:rsidRPr="00703ECB" w:rsidRDefault="00346F25" w:rsidP="00703ECB">
            <w:pPr>
              <w:overflowPunct/>
              <w:autoSpaceDE/>
              <w:autoSpaceDN/>
              <w:adjustRightInd/>
              <w:snapToGrid w:val="0"/>
              <w:spacing w:after="0"/>
              <w:jc w:val="center"/>
              <w:textAlignment w:val="auto"/>
              <w:rPr>
                <w:bCs/>
              </w:rPr>
            </w:pPr>
            <m:oMathPara>
              <m:oMath>
                <m:sSubSup>
                  <m:sSubSupPr>
                    <m:ctrlPr>
                      <w:rPr>
                        <w:rFonts w:ascii="Cambria Math" w:hAnsi="Cambria Math"/>
                        <w:bCs/>
                        <w:i/>
                        <w:iCs/>
                      </w:rPr>
                    </m:ctrlPr>
                  </m:sSubSupPr>
                  <m:e>
                    <m:r>
                      <w:rPr>
                        <w:rFonts w:ascii="Cambria Math" w:hAnsi="Cambria Math"/>
                      </w:rPr>
                      <m:t>ρ</m:t>
                    </m:r>
                  </m:e>
                  <m:sub>
                    <m:r>
                      <w:rPr>
                        <w:rFonts w:ascii="Cambria Math" w:hAnsi="Cambria Math"/>
                      </w:rPr>
                      <m:t>B</m:t>
                    </m:r>
                  </m:sub>
                  <m:sup>
                    <m:r>
                      <w:rPr>
                        <w:rFonts w:ascii="Cambria Math" w:hAnsi="Cambria Math"/>
                      </w:rPr>
                      <m:t>d</m:t>
                    </m:r>
                  </m:sup>
                </m:sSubSup>
              </m:oMath>
            </m:oMathPara>
          </w:p>
        </w:tc>
        <w:tc>
          <w:tcPr>
            <w:tcW w:w="1722" w:type="dxa"/>
            <w:tcBorders>
              <w:top w:val="nil"/>
              <w:left w:val="nil"/>
              <w:bottom w:val="single" w:sz="4" w:space="0" w:color="auto"/>
              <w:right w:val="single" w:sz="4" w:space="0" w:color="auto"/>
            </w:tcBorders>
            <w:shd w:val="clear" w:color="auto" w:fill="8EAADB" w:themeFill="accent1" w:themeFillTint="99"/>
            <w:noWrap/>
            <w:vAlign w:val="bottom"/>
            <w:hideMark/>
          </w:tcPr>
          <w:p w14:paraId="59E81B55" w14:textId="56DDA38B" w:rsidR="003D2355" w:rsidRPr="00703ECB" w:rsidRDefault="003D2355" w:rsidP="00703ECB">
            <w:pPr>
              <w:overflowPunct/>
              <w:autoSpaceDE/>
              <w:autoSpaceDN/>
              <w:adjustRightInd/>
              <w:snapToGrid w:val="0"/>
              <w:spacing w:after="0"/>
              <w:jc w:val="center"/>
              <w:textAlignment w:val="auto"/>
              <w:rPr>
                <w:bCs/>
              </w:rPr>
            </w:pPr>
            <m:oMathPara>
              <m:oMath>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bCs/>
                        <w:i/>
                        <w:iCs/>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bCs/>
                        <w:i/>
                        <w:iCs/>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oMath>
            </m:oMathPara>
          </w:p>
        </w:tc>
        <w:tc>
          <w:tcPr>
            <w:tcW w:w="1163" w:type="dxa"/>
            <w:tcBorders>
              <w:top w:val="nil"/>
              <w:left w:val="nil"/>
              <w:bottom w:val="single" w:sz="4" w:space="0" w:color="auto"/>
              <w:right w:val="single" w:sz="4" w:space="0" w:color="auto"/>
            </w:tcBorders>
            <w:shd w:val="clear" w:color="auto" w:fill="8EAADB" w:themeFill="accent1" w:themeFillTint="99"/>
            <w:noWrap/>
            <w:vAlign w:val="bottom"/>
            <w:hideMark/>
          </w:tcPr>
          <w:p w14:paraId="386D7587"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0dB</w:t>
            </w:r>
          </w:p>
        </w:tc>
        <w:tc>
          <w:tcPr>
            <w:tcW w:w="948" w:type="dxa"/>
            <w:tcBorders>
              <w:top w:val="nil"/>
              <w:left w:val="nil"/>
              <w:bottom w:val="single" w:sz="4" w:space="0" w:color="auto"/>
              <w:right w:val="single" w:sz="4" w:space="0" w:color="auto"/>
            </w:tcBorders>
            <w:shd w:val="clear" w:color="auto" w:fill="8EAADB" w:themeFill="accent1" w:themeFillTint="99"/>
            <w:noWrap/>
            <w:vAlign w:val="bottom"/>
            <w:hideMark/>
          </w:tcPr>
          <w:p w14:paraId="5A429A3A"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3dB</w:t>
            </w:r>
          </w:p>
        </w:tc>
        <w:tc>
          <w:tcPr>
            <w:tcW w:w="1056" w:type="dxa"/>
            <w:tcBorders>
              <w:top w:val="nil"/>
              <w:left w:val="nil"/>
              <w:bottom w:val="single" w:sz="4" w:space="0" w:color="auto"/>
              <w:right w:val="single" w:sz="4" w:space="0" w:color="auto"/>
            </w:tcBorders>
            <w:shd w:val="clear" w:color="auto" w:fill="8EAADB" w:themeFill="accent1" w:themeFillTint="99"/>
            <w:noWrap/>
            <w:vAlign w:val="bottom"/>
            <w:hideMark/>
          </w:tcPr>
          <w:p w14:paraId="48238946"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4.8dB</w:t>
            </w:r>
          </w:p>
        </w:tc>
        <w:tc>
          <w:tcPr>
            <w:tcW w:w="1033" w:type="dxa"/>
            <w:tcBorders>
              <w:top w:val="nil"/>
              <w:left w:val="nil"/>
              <w:bottom w:val="single" w:sz="4" w:space="0" w:color="auto"/>
              <w:right w:val="single" w:sz="4" w:space="0" w:color="auto"/>
            </w:tcBorders>
            <w:shd w:val="clear" w:color="auto" w:fill="8EAADB" w:themeFill="accent1" w:themeFillTint="99"/>
            <w:noWrap/>
            <w:vAlign w:val="bottom"/>
            <w:hideMark/>
          </w:tcPr>
          <w:p w14:paraId="165612FB"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6dB</w:t>
            </w:r>
          </w:p>
        </w:tc>
      </w:tr>
      <w:tr w:rsidR="003D2355" w:rsidRPr="003D2355" w14:paraId="770ECCBA"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8AF659B"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w:t>
            </w:r>
          </w:p>
        </w:tc>
        <w:tc>
          <w:tcPr>
            <w:tcW w:w="828" w:type="dxa"/>
            <w:tcBorders>
              <w:top w:val="nil"/>
              <w:left w:val="nil"/>
              <w:bottom w:val="single" w:sz="4" w:space="0" w:color="auto"/>
              <w:right w:val="single" w:sz="4" w:space="0" w:color="auto"/>
            </w:tcBorders>
            <w:shd w:val="clear" w:color="auto" w:fill="auto"/>
            <w:noWrap/>
            <w:vAlign w:val="bottom"/>
            <w:hideMark/>
          </w:tcPr>
          <w:p w14:paraId="7BD9D7E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1    </w:t>
            </w:r>
          </w:p>
        </w:tc>
        <w:tc>
          <w:tcPr>
            <w:tcW w:w="940" w:type="dxa"/>
            <w:tcBorders>
              <w:top w:val="nil"/>
              <w:left w:val="nil"/>
              <w:bottom w:val="single" w:sz="4" w:space="0" w:color="auto"/>
              <w:right w:val="single" w:sz="4" w:space="0" w:color="auto"/>
            </w:tcBorders>
            <w:shd w:val="clear" w:color="auto" w:fill="auto"/>
            <w:noWrap/>
            <w:vAlign w:val="bottom"/>
            <w:hideMark/>
          </w:tcPr>
          <w:p w14:paraId="6F3BB43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1.25</w:t>
            </w:r>
          </w:p>
        </w:tc>
        <w:tc>
          <w:tcPr>
            <w:tcW w:w="1722" w:type="dxa"/>
            <w:tcBorders>
              <w:top w:val="nil"/>
              <w:left w:val="nil"/>
              <w:bottom w:val="single" w:sz="4" w:space="0" w:color="auto"/>
              <w:right w:val="single" w:sz="4" w:space="0" w:color="auto"/>
            </w:tcBorders>
            <w:shd w:val="clear" w:color="auto" w:fill="auto"/>
            <w:noWrap/>
            <w:vAlign w:val="bottom"/>
            <w:hideMark/>
          </w:tcPr>
          <w:p w14:paraId="607DAE5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2    </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509561DF"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3.01</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0DD878F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6.01</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44A4494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7.81</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6D9B3A0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9.01</w:t>
            </w:r>
          </w:p>
        </w:tc>
      </w:tr>
      <w:tr w:rsidR="003D2355" w:rsidRPr="003D2355" w14:paraId="3DCAFA90"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DD0EAD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w:t>
            </w:r>
          </w:p>
        </w:tc>
        <w:tc>
          <w:tcPr>
            <w:tcW w:w="828" w:type="dxa"/>
            <w:tcBorders>
              <w:top w:val="nil"/>
              <w:left w:val="nil"/>
              <w:bottom w:val="single" w:sz="4" w:space="0" w:color="auto"/>
              <w:right w:val="single" w:sz="4" w:space="0" w:color="auto"/>
            </w:tcBorders>
            <w:shd w:val="clear" w:color="auto" w:fill="auto"/>
            <w:noWrap/>
            <w:vAlign w:val="bottom"/>
            <w:hideMark/>
          </w:tcPr>
          <w:p w14:paraId="22CE09E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1/2</w:t>
            </w:r>
          </w:p>
        </w:tc>
        <w:tc>
          <w:tcPr>
            <w:tcW w:w="940" w:type="dxa"/>
            <w:tcBorders>
              <w:top w:val="nil"/>
              <w:left w:val="nil"/>
              <w:bottom w:val="single" w:sz="4" w:space="0" w:color="auto"/>
              <w:right w:val="single" w:sz="4" w:space="0" w:color="auto"/>
            </w:tcBorders>
            <w:shd w:val="clear" w:color="auto" w:fill="auto"/>
            <w:noWrap/>
            <w:vAlign w:val="bottom"/>
            <w:hideMark/>
          </w:tcPr>
          <w:p w14:paraId="555ECDE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1/2</w:t>
            </w:r>
          </w:p>
        </w:tc>
        <w:tc>
          <w:tcPr>
            <w:tcW w:w="1722" w:type="dxa"/>
            <w:tcBorders>
              <w:top w:val="nil"/>
              <w:left w:val="nil"/>
              <w:bottom w:val="single" w:sz="4" w:space="0" w:color="auto"/>
              <w:right w:val="single" w:sz="4" w:space="0" w:color="auto"/>
            </w:tcBorders>
            <w:shd w:val="clear" w:color="auto" w:fill="auto"/>
            <w:noWrap/>
            <w:vAlign w:val="bottom"/>
            <w:hideMark/>
          </w:tcPr>
          <w:p w14:paraId="310E7289"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1    </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124CB429"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0.00</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23A839D3"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3.00</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07BF1E96"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4.80</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4A05062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6.00</w:t>
            </w:r>
          </w:p>
        </w:tc>
      </w:tr>
      <w:tr w:rsidR="003D2355" w:rsidRPr="003D2355" w14:paraId="496B2D55"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EFB36B6"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2</w:t>
            </w:r>
          </w:p>
        </w:tc>
        <w:tc>
          <w:tcPr>
            <w:tcW w:w="828" w:type="dxa"/>
            <w:tcBorders>
              <w:top w:val="nil"/>
              <w:left w:val="nil"/>
              <w:bottom w:val="single" w:sz="4" w:space="0" w:color="auto"/>
              <w:right w:val="single" w:sz="4" w:space="0" w:color="auto"/>
            </w:tcBorders>
            <w:shd w:val="clear" w:color="auto" w:fill="auto"/>
            <w:noWrap/>
            <w:vAlign w:val="bottom"/>
            <w:hideMark/>
          </w:tcPr>
          <w:p w14:paraId="766EBA2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1/3</w:t>
            </w:r>
          </w:p>
        </w:tc>
        <w:tc>
          <w:tcPr>
            <w:tcW w:w="940" w:type="dxa"/>
            <w:tcBorders>
              <w:top w:val="nil"/>
              <w:left w:val="nil"/>
              <w:bottom w:val="single" w:sz="4" w:space="0" w:color="auto"/>
              <w:right w:val="single" w:sz="4" w:space="0" w:color="auto"/>
            </w:tcBorders>
            <w:shd w:val="clear" w:color="auto" w:fill="auto"/>
            <w:noWrap/>
            <w:vAlign w:val="bottom"/>
            <w:hideMark/>
          </w:tcPr>
          <w:p w14:paraId="10E79846"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1/4</w:t>
            </w:r>
          </w:p>
        </w:tc>
        <w:tc>
          <w:tcPr>
            <w:tcW w:w="1722" w:type="dxa"/>
            <w:tcBorders>
              <w:top w:val="nil"/>
              <w:left w:val="nil"/>
              <w:bottom w:val="single" w:sz="4" w:space="0" w:color="auto"/>
              <w:right w:val="single" w:sz="4" w:space="0" w:color="auto"/>
            </w:tcBorders>
            <w:shd w:val="clear" w:color="auto" w:fill="auto"/>
            <w:noWrap/>
            <w:vAlign w:val="bottom"/>
            <w:hideMark/>
          </w:tcPr>
          <w:p w14:paraId="1FC97AE4"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1/2</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0F7C3EEB"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-3.01</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2C8678C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-0.01</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3DD4B8C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1.79</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24C234A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2.99</w:t>
            </w:r>
          </w:p>
        </w:tc>
      </w:tr>
      <w:tr w:rsidR="003D2355" w:rsidRPr="003D2355" w14:paraId="272DE541"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FB6EBF9"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w:t>
            </w:r>
          </w:p>
        </w:tc>
        <w:tc>
          <w:tcPr>
            <w:tcW w:w="828" w:type="dxa"/>
            <w:tcBorders>
              <w:top w:val="nil"/>
              <w:left w:val="nil"/>
              <w:bottom w:val="single" w:sz="4" w:space="0" w:color="auto"/>
              <w:right w:val="single" w:sz="4" w:space="0" w:color="auto"/>
            </w:tcBorders>
            <w:shd w:val="clear" w:color="auto" w:fill="auto"/>
            <w:noWrap/>
            <w:vAlign w:val="bottom"/>
            <w:hideMark/>
          </w:tcPr>
          <w:p w14:paraId="17877DF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1/4</w:t>
            </w:r>
          </w:p>
        </w:tc>
        <w:tc>
          <w:tcPr>
            <w:tcW w:w="940" w:type="dxa"/>
            <w:tcBorders>
              <w:top w:val="nil"/>
              <w:left w:val="nil"/>
              <w:bottom w:val="single" w:sz="4" w:space="0" w:color="auto"/>
              <w:right w:val="single" w:sz="4" w:space="0" w:color="auto"/>
            </w:tcBorders>
            <w:shd w:val="clear" w:color="auto" w:fill="auto"/>
            <w:noWrap/>
            <w:vAlign w:val="bottom"/>
            <w:hideMark/>
          </w:tcPr>
          <w:p w14:paraId="43F8EDCF"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1/8</w:t>
            </w:r>
          </w:p>
        </w:tc>
        <w:tc>
          <w:tcPr>
            <w:tcW w:w="1722" w:type="dxa"/>
            <w:tcBorders>
              <w:top w:val="nil"/>
              <w:left w:val="nil"/>
              <w:bottom w:val="single" w:sz="4" w:space="0" w:color="auto"/>
              <w:right w:val="single" w:sz="4" w:space="0" w:color="auto"/>
            </w:tcBorders>
            <w:shd w:val="clear" w:color="auto" w:fill="auto"/>
            <w:noWrap/>
            <w:vAlign w:val="bottom"/>
            <w:hideMark/>
          </w:tcPr>
          <w:p w14:paraId="3FC8000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1/4</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76B6FB7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-6.02</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64D9F106"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-3.02</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1800697F"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-1.22</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62DBD95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-0.02</w:t>
            </w:r>
          </w:p>
        </w:tc>
      </w:tr>
      <w:tr w:rsidR="00C018B6" w:rsidRPr="003D2355" w14:paraId="5CCAB8B5" w14:textId="77777777" w:rsidTr="003D2355">
        <w:trPr>
          <w:trHeight w:val="300"/>
          <w:jc w:val="center"/>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6C0B1C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828" w:type="dxa"/>
            <w:tcBorders>
              <w:top w:val="nil"/>
              <w:left w:val="nil"/>
              <w:bottom w:val="single" w:sz="4" w:space="0" w:color="auto"/>
              <w:right w:val="single" w:sz="4" w:space="0" w:color="auto"/>
            </w:tcBorders>
            <w:shd w:val="clear" w:color="auto" w:fill="auto"/>
            <w:noWrap/>
            <w:vAlign w:val="bottom"/>
            <w:hideMark/>
          </w:tcPr>
          <w:p w14:paraId="496FE2FF"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940" w:type="dxa"/>
            <w:tcBorders>
              <w:top w:val="nil"/>
              <w:left w:val="nil"/>
              <w:bottom w:val="single" w:sz="4" w:space="0" w:color="auto"/>
              <w:right w:val="single" w:sz="4" w:space="0" w:color="auto"/>
            </w:tcBorders>
            <w:shd w:val="clear" w:color="auto" w:fill="auto"/>
            <w:noWrap/>
            <w:vAlign w:val="bottom"/>
            <w:hideMark/>
          </w:tcPr>
          <w:p w14:paraId="64643F14"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722" w:type="dxa"/>
            <w:tcBorders>
              <w:top w:val="nil"/>
              <w:left w:val="nil"/>
              <w:bottom w:val="single" w:sz="4" w:space="0" w:color="auto"/>
              <w:right w:val="single" w:sz="4" w:space="0" w:color="auto"/>
            </w:tcBorders>
            <w:shd w:val="clear" w:color="auto" w:fill="auto"/>
            <w:noWrap/>
            <w:vAlign w:val="bottom"/>
            <w:hideMark/>
          </w:tcPr>
          <w:p w14:paraId="74D4D86D"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163" w:type="dxa"/>
            <w:tcBorders>
              <w:top w:val="nil"/>
              <w:left w:val="nil"/>
              <w:bottom w:val="single" w:sz="4" w:space="0" w:color="auto"/>
              <w:right w:val="single" w:sz="4" w:space="0" w:color="auto"/>
            </w:tcBorders>
            <w:shd w:val="clear" w:color="auto" w:fill="auto"/>
            <w:noWrap/>
            <w:vAlign w:val="bottom"/>
            <w:hideMark/>
          </w:tcPr>
          <w:p w14:paraId="247FB899"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948" w:type="dxa"/>
            <w:tcBorders>
              <w:top w:val="nil"/>
              <w:left w:val="nil"/>
              <w:bottom w:val="single" w:sz="4" w:space="0" w:color="auto"/>
              <w:right w:val="single" w:sz="4" w:space="0" w:color="auto"/>
            </w:tcBorders>
            <w:shd w:val="clear" w:color="auto" w:fill="auto"/>
            <w:noWrap/>
            <w:vAlign w:val="bottom"/>
            <w:hideMark/>
          </w:tcPr>
          <w:p w14:paraId="52D987B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056" w:type="dxa"/>
            <w:tcBorders>
              <w:top w:val="nil"/>
              <w:left w:val="nil"/>
              <w:bottom w:val="single" w:sz="4" w:space="0" w:color="auto"/>
              <w:right w:val="single" w:sz="4" w:space="0" w:color="auto"/>
            </w:tcBorders>
            <w:shd w:val="clear" w:color="auto" w:fill="auto"/>
            <w:noWrap/>
            <w:vAlign w:val="bottom"/>
            <w:hideMark/>
          </w:tcPr>
          <w:p w14:paraId="7E396CC5"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033" w:type="dxa"/>
            <w:tcBorders>
              <w:top w:val="nil"/>
              <w:left w:val="nil"/>
              <w:bottom w:val="single" w:sz="4" w:space="0" w:color="auto"/>
              <w:right w:val="single" w:sz="4" w:space="0" w:color="auto"/>
            </w:tcBorders>
            <w:shd w:val="clear" w:color="auto" w:fill="auto"/>
            <w:noWrap/>
            <w:vAlign w:val="bottom"/>
            <w:hideMark/>
          </w:tcPr>
          <w:p w14:paraId="7C0EBF3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r>
      <w:tr w:rsidR="00C018B6" w:rsidRPr="003D2355" w14:paraId="4FDDA8FB" w14:textId="77777777" w:rsidTr="00BB2624">
        <w:trPr>
          <w:trHeight w:val="300"/>
          <w:jc w:val="center"/>
        </w:trPr>
        <w:tc>
          <w:tcPr>
            <w:tcW w:w="660" w:type="dxa"/>
            <w:tcBorders>
              <w:top w:val="nil"/>
              <w:left w:val="nil"/>
              <w:bottom w:val="nil"/>
              <w:right w:val="nil"/>
            </w:tcBorders>
            <w:shd w:val="clear" w:color="auto" w:fill="8EAADB" w:themeFill="accent1" w:themeFillTint="99"/>
            <w:noWrap/>
            <w:vAlign w:val="bottom"/>
            <w:hideMark/>
          </w:tcPr>
          <w:p w14:paraId="681CF136" w14:textId="77777777" w:rsidR="003D2355" w:rsidRPr="00703ECB" w:rsidRDefault="003D2355" w:rsidP="00703ECB">
            <w:pPr>
              <w:overflowPunct/>
              <w:autoSpaceDE/>
              <w:autoSpaceDN/>
              <w:adjustRightInd/>
              <w:snapToGrid w:val="0"/>
              <w:spacing w:after="0"/>
              <w:jc w:val="center"/>
              <w:textAlignment w:val="auto"/>
              <w:rPr>
                <w:bCs/>
              </w:rPr>
            </w:pPr>
          </w:p>
        </w:tc>
        <w:tc>
          <w:tcPr>
            <w:tcW w:w="828" w:type="dxa"/>
            <w:tcBorders>
              <w:top w:val="nil"/>
              <w:left w:val="single" w:sz="4" w:space="0" w:color="auto"/>
              <w:bottom w:val="single" w:sz="4" w:space="0" w:color="auto"/>
              <w:right w:val="single" w:sz="4" w:space="0" w:color="auto"/>
            </w:tcBorders>
            <w:shd w:val="clear" w:color="auto" w:fill="8EAADB" w:themeFill="accent1" w:themeFillTint="99"/>
            <w:noWrap/>
            <w:vAlign w:val="bottom"/>
            <w:hideMark/>
          </w:tcPr>
          <w:p w14:paraId="395E8F51" w14:textId="27A46241" w:rsidR="003D2355" w:rsidRPr="00703ECB" w:rsidRDefault="003D2355" w:rsidP="00703ECB">
            <w:pPr>
              <w:overflowPunct/>
              <w:autoSpaceDE/>
              <w:autoSpaceDN/>
              <w:adjustRightInd/>
              <w:snapToGrid w:val="0"/>
              <w:spacing w:after="0"/>
              <w:jc w:val="center"/>
              <w:textAlignment w:val="auto"/>
              <w:rPr>
                <w:bCs/>
              </w:rPr>
            </w:pPr>
            <w:r w:rsidRPr="001652BF">
              <w:rPr>
                <w:bCs/>
              </w:rPr>
              <w:t> </w:t>
            </w:r>
          </w:p>
        </w:tc>
        <w:tc>
          <w:tcPr>
            <w:tcW w:w="940" w:type="dxa"/>
            <w:tcBorders>
              <w:top w:val="nil"/>
              <w:left w:val="nil"/>
              <w:bottom w:val="single" w:sz="4" w:space="0" w:color="auto"/>
              <w:right w:val="single" w:sz="4" w:space="0" w:color="auto"/>
            </w:tcBorders>
            <w:shd w:val="clear" w:color="auto" w:fill="8EAADB" w:themeFill="accent1" w:themeFillTint="99"/>
            <w:noWrap/>
            <w:vAlign w:val="bottom"/>
            <w:hideMark/>
          </w:tcPr>
          <w:p w14:paraId="7BACE313" w14:textId="61BB9F46" w:rsidR="003D2355" w:rsidRPr="00703ECB" w:rsidRDefault="003D2355" w:rsidP="00703ECB">
            <w:pPr>
              <w:overflowPunct/>
              <w:autoSpaceDE/>
              <w:autoSpaceDN/>
              <w:adjustRightInd/>
              <w:snapToGrid w:val="0"/>
              <w:spacing w:after="0"/>
              <w:jc w:val="center"/>
              <w:textAlignment w:val="auto"/>
              <w:rPr>
                <w:bCs/>
              </w:rPr>
            </w:pPr>
            <w:r w:rsidRPr="001652BF">
              <w:rPr>
                <w:bCs/>
              </w:rPr>
              <w:t> </w:t>
            </w:r>
          </w:p>
        </w:tc>
        <w:tc>
          <w:tcPr>
            <w:tcW w:w="1722" w:type="dxa"/>
            <w:tcBorders>
              <w:top w:val="nil"/>
              <w:left w:val="nil"/>
              <w:bottom w:val="single" w:sz="4" w:space="0" w:color="auto"/>
              <w:right w:val="single" w:sz="4" w:space="0" w:color="auto"/>
            </w:tcBorders>
            <w:shd w:val="clear" w:color="auto" w:fill="8EAADB" w:themeFill="accent1" w:themeFillTint="99"/>
            <w:noWrap/>
            <w:vAlign w:val="bottom"/>
            <w:hideMark/>
          </w:tcPr>
          <w:p w14:paraId="32904923" w14:textId="70C79FBE" w:rsidR="003D2355" w:rsidRPr="00703ECB" w:rsidRDefault="003D2355" w:rsidP="00703ECB">
            <w:pPr>
              <w:overflowPunct/>
              <w:autoSpaceDE/>
              <w:autoSpaceDN/>
              <w:adjustRightInd/>
              <w:snapToGrid w:val="0"/>
              <w:spacing w:after="0"/>
              <w:jc w:val="center"/>
              <w:textAlignment w:val="auto"/>
              <w:rPr>
                <w:bCs/>
              </w:rPr>
            </w:pPr>
            <m:oMath>
              <m:r>
                <w:rPr>
                  <w:rFonts w:ascii="Cambria Math" w:hAnsi="Cambria Math"/>
                </w:rPr>
                <m:t>p</m:t>
              </m:r>
            </m:oMath>
            <w:r>
              <w:rPr>
                <w:bCs/>
              </w:rPr>
              <w:t>=4</w:t>
            </w:r>
          </w:p>
        </w:tc>
        <w:tc>
          <w:tcPr>
            <w:tcW w:w="4200" w:type="dxa"/>
            <w:gridSpan w:val="4"/>
            <w:tcBorders>
              <w:top w:val="single" w:sz="4" w:space="0" w:color="auto"/>
              <w:left w:val="nil"/>
              <w:bottom w:val="single" w:sz="4" w:space="0" w:color="auto"/>
              <w:right w:val="single" w:sz="4" w:space="0" w:color="000000"/>
            </w:tcBorders>
            <w:shd w:val="clear" w:color="auto" w:fill="8EAADB" w:themeFill="accent1" w:themeFillTint="99"/>
            <w:noWrap/>
            <w:vAlign w:val="bottom"/>
            <w:hideMark/>
          </w:tcPr>
          <w:p w14:paraId="645299A8" w14:textId="4C3B2CD5" w:rsidR="003D2355" w:rsidRPr="00703ECB" w:rsidRDefault="006F721E" w:rsidP="00703ECB">
            <w:pPr>
              <w:overflowPunct/>
              <w:autoSpaceDE/>
              <w:autoSpaceDN/>
              <w:adjustRightInd/>
              <w:snapToGrid w:val="0"/>
              <w:spacing w:after="0"/>
              <w:jc w:val="center"/>
              <w:textAlignment w:val="auto"/>
              <w:rPr>
                <w:bCs/>
              </w:rPr>
            </w:pPr>
            <w:r w:rsidRPr="006F721E">
              <w:rPr>
                <w:bCs/>
                <w:i/>
              </w:rPr>
              <w:t>powerBoost</w:t>
            </w:r>
            <w:r>
              <w:rPr>
                <w:bCs/>
                <w:i/>
              </w:rPr>
              <w:t xml:space="preserve"> </w:t>
            </w:r>
            <w:r w:rsidRPr="006F721E">
              <w:rPr>
                <w:bCs/>
              </w:rPr>
              <w:t>for RSS</w:t>
            </w:r>
          </w:p>
        </w:tc>
      </w:tr>
      <w:tr w:rsidR="003D2355" w:rsidRPr="003D2355" w14:paraId="05F59FC3" w14:textId="77777777" w:rsidTr="00BB2624">
        <w:trPr>
          <w:trHeight w:val="300"/>
          <w:jc w:val="center"/>
        </w:trPr>
        <w:tc>
          <w:tcPr>
            <w:tcW w:w="660"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bottom"/>
            <w:hideMark/>
          </w:tcPr>
          <w:p w14:paraId="05A8950E" w14:textId="7C33FBDC" w:rsidR="003D2355" w:rsidRPr="00703ECB" w:rsidRDefault="00346F25" w:rsidP="00703ECB">
            <w:pPr>
              <w:overflowPunct/>
              <w:autoSpaceDE/>
              <w:autoSpaceDN/>
              <w:adjustRightInd/>
              <w:snapToGrid w:val="0"/>
              <w:spacing w:after="0"/>
              <w:jc w:val="center"/>
              <w:textAlignment w:val="auto"/>
              <w:rPr>
                <w:bCs/>
              </w:rPr>
            </w:pPr>
            <m:oMathPara>
              <m:oMath>
                <m:sSub>
                  <m:sSubPr>
                    <m:ctrlPr>
                      <w:rPr>
                        <w:rFonts w:ascii="Cambria Math" w:hAnsi="Cambria Math"/>
                        <w:bCs/>
                        <w:i/>
                        <w:iCs/>
                      </w:rPr>
                    </m:ctrlPr>
                  </m:sSubPr>
                  <m:e>
                    <m:r>
                      <w:rPr>
                        <w:rFonts w:ascii="Cambria Math" w:hAnsi="Cambria Math"/>
                      </w:rPr>
                      <m:t>P</m:t>
                    </m:r>
                  </m:e>
                  <m:sub>
                    <m:r>
                      <w:rPr>
                        <w:rFonts w:ascii="Cambria Math" w:hAnsi="Cambria Math"/>
                      </w:rPr>
                      <m:t>B</m:t>
                    </m:r>
                  </m:sub>
                </m:sSub>
              </m:oMath>
            </m:oMathPara>
          </w:p>
        </w:tc>
        <w:tc>
          <w:tcPr>
            <w:tcW w:w="828" w:type="dxa"/>
            <w:tcBorders>
              <w:top w:val="nil"/>
              <w:left w:val="nil"/>
              <w:bottom w:val="single" w:sz="4" w:space="0" w:color="auto"/>
              <w:right w:val="single" w:sz="4" w:space="0" w:color="auto"/>
            </w:tcBorders>
            <w:shd w:val="clear" w:color="auto" w:fill="8EAADB" w:themeFill="accent1" w:themeFillTint="99"/>
            <w:noWrap/>
            <w:vAlign w:val="bottom"/>
            <w:hideMark/>
          </w:tcPr>
          <w:p w14:paraId="2F6AF4D5" w14:textId="752D058B" w:rsidR="003D2355" w:rsidRPr="00703ECB" w:rsidRDefault="00346F25" w:rsidP="00703ECB">
            <w:pPr>
              <w:overflowPunct/>
              <w:autoSpaceDE/>
              <w:autoSpaceDN/>
              <w:adjustRightInd/>
              <w:snapToGrid w:val="0"/>
              <w:spacing w:after="0"/>
              <w:jc w:val="center"/>
              <w:textAlignment w:val="auto"/>
              <w:rPr>
                <w:bCs/>
              </w:rPr>
            </w:pPr>
            <m:oMathPara>
              <m:oMath>
                <m:sSubSup>
                  <m:sSubSupPr>
                    <m:ctrlPr>
                      <w:rPr>
                        <w:rFonts w:ascii="Cambria Math" w:hAnsi="Cambria Math"/>
                        <w:bCs/>
                        <w:i/>
                        <w:iCs/>
                      </w:rPr>
                    </m:ctrlPr>
                  </m:sSubSupPr>
                  <m:e>
                    <m:r>
                      <w:rPr>
                        <w:rFonts w:ascii="Cambria Math" w:hAnsi="Cambria Math"/>
                      </w:rPr>
                      <m:t>ρ</m:t>
                    </m:r>
                  </m:e>
                  <m:sub>
                    <m:r>
                      <w:rPr>
                        <w:rFonts w:ascii="Cambria Math" w:hAnsi="Cambria Math"/>
                      </w:rPr>
                      <m:t>A</m:t>
                    </m:r>
                  </m:sub>
                  <m:sup>
                    <m:r>
                      <w:rPr>
                        <w:rFonts w:ascii="Cambria Math" w:hAnsi="Cambria Math"/>
                      </w:rPr>
                      <m:t>d</m:t>
                    </m:r>
                  </m:sup>
                </m:sSubSup>
              </m:oMath>
            </m:oMathPara>
          </w:p>
        </w:tc>
        <w:tc>
          <w:tcPr>
            <w:tcW w:w="940" w:type="dxa"/>
            <w:tcBorders>
              <w:top w:val="nil"/>
              <w:left w:val="nil"/>
              <w:bottom w:val="single" w:sz="4" w:space="0" w:color="auto"/>
              <w:right w:val="single" w:sz="4" w:space="0" w:color="auto"/>
            </w:tcBorders>
            <w:shd w:val="clear" w:color="auto" w:fill="8EAADB" w:themeFill="accent1" w:themeFillTint="99"/>
            <w:noWrap/>
            <w:vAlign w:val="bottom"/>
            <w:hideMark/>
          </w:tcPr>
          <w:p w14:paraId="353F5271" w14:textId="71363554" w:rsidR="003D2355" w:rsidRPr="00703ECB" w:rsidRDefault="00346F25" w:rsidP="00703ECB">
            <w:pPr>
              <w:overflowPunct/>
              <w:autoSpaceDE/>
              <w:autoSpaceDN/>
              <w:adjustRightInd/>
              <w:snapToGrid w:val="0"/>
              <w:spacing w:after="0"/>
              <w:jc w:val="center"/>
              <w:textAlignment w:val="auto"/>
              <w:rPr>
                <w:bCs/>
              </w:rPr>
            </w:pPr>
            <m:oMathPara>
              <m:oMath>
                <m:sSubSup>
                  <m:sSubSupPr>
                    <m:ctrlPr>
                      <w:rPr>
                        <w:rFonts w:ascii="Cambria Math" w:hAnsi="Cambria Math"/>
                        <w:bCs/>
                        <w:i/>
                        <w:iCs/>
                      </w:rPr>
                    </m:ctrlPr>
                  </m:sSubSupPr>
                  <m:e>
                    <m:r>
                      <w:rPr>
                        <w:rFonts w:ascii="Cambria Math" w:hAnsi="Cambria Math"/>
                      </w:rPr>
                      <m:t>ρ</m:t>
                    </m:r>
                  </m:e>
                  <m:sub>
                    <m:r>
                      <w:rPr>
                        <w:rFonts w:ascii="Cambria Math" w:hAnsi="Cambria Math"/>
                      </w:rPr>
                      <m:t>B</m:t>
                    </m:r>
                  </m:sub>
                  <m:sup>
                    <m:r>
                      <w:rPr>
                        <w:rFonts w:ascii="Cambria Math" w:hAnsi="Cambria Math"/>
                      </w:rPr>
                      <m:t>d</m:t>
                    </m:r>
                  </m:sup>
                </m:sSubSup>
              </m:oMath>
            </m:oMathPara>
          </w:p>
        </w:tc>
        <w:tc>
          <w:tcPr>
            <w:tcW w:w="1722" w:type="dxa"/>
            <w:tcBorders>
              <w:top w:val="nil"/>
              <w:left w:val="nil"/>
              <w:bottom w:val="single" w:sz="4" w:space="0" w:color="auto"/>
              <w:right w:val="single" w:sz="4" w:space="0" w:color="auto"/>
            </w:tcBorders>
            <w:shd w:val="clear" w:color="auto" w:fill="8EAADB" w:themeFill="accent1" w:themeFillTint="99"/>
            <w:noWrap/>
            <w:vAlign w:val="bottom"/>
            <w:hideMark/>
          </w:tcPr>
          <w:p w14:paraId="594A8254" w14:textId="2FD948AA" w:rsidR="003D2355" w:rsidRPr="00703ECB" w:rsidRDefault="003D2355" w:rsidP="00703ECB">
            <w:pPr>
              <w:overflowPunct/>
              <w:autoSpaceDE/>
              <w:autoSpaceDN/>
              <w:adjustRightInd/>
              <w:snapToGrid w:val="0"/>
              <w:spacing w:after="0"/>
              <w:jc w:val="center"/>
              <w:textAlignment w:val="auto"/>
              <w:rPr>
                <w:bCs/>
              </w:rPr>
            </w:pPr>
            <m:oMathPara>
              <m:oMath>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bCs/>
                        <w:i/>
                        <w:iCs/>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bCs/>
                        <w:i/>
                        <w:iCs/>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oMath>
            </m:oMathPara>
          </w:p>
        </w:tc>
        <w:tc>
          <w:tcPr>
            <w:tcW w:w="1163" w:type="dxa"/>
            <w:tcBorders>
              <w:top w:val="nil"/>
              <w:left w:val="nil"/>
              <w:bottom w:val="single" w:sz="4" w:space="0" w:color="auto"/>
              <w:right w:val="single" w:sz="4" w:space="0" w:color="auto"/>
            </w:tcBorders>
            <w:shd w:val="clear" w:color="auto" w:fill="8EAADB" w:themeFill="accent1" w:themeFillTint="99"/>
            <w:noWrap/>
            <w:vAlign w:val="bottom"/>
            <w:hideMark/>
          </w:tcPr>
          <w:p w14:paraId="1A76C315"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0dB</w:t>
            </w:r>
          </w:p>
        </w:tc>
        <w:tc>
          <w:tcPr>
            <w:tcW w:w="948" w:type="dxa"/>
            <w:tcBorders>
              <w:top w:val="nil"/>
              <w:left w:val="nil"/>
              <w:bottom w:val="single" w:sz="4" w:space="0" w:color="auto"/>
              <w:right w:val="single" w:sz="4" w:space="0" w:color="auto"/>
            </w:tcBorders>
            <w:shd w:val="clear" w:color="auto" w:fill="8EAADB" w:themeFill="accent1" w:themeFillTint="99"/>
            <w:noWrap/>
            <w:vAlign w:val="bottom"/>
            <w:hideMark/>
          </w:tcPr>
          <w:p w14:paraId="5926CC0D"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3dB</w:t>
            </w:r>
          </w:p>
        </w:tc>
        <w:tc>
          <w:tcPr>
            <w:tcW w:w="1056" w:type="dxa"/>
            <w:tcBorders>
              <w:top w:val="nil"/>
              <w:left w:val="nil"/>
              <w:bottom w:val="single" w:sz="4" w:space="0" w:color="auto"/>
              <w:right w:val="single" w:sz="4" w:space="0" w:color="auto"/>
            </w:tcBorders>
            <w:shd w:val="clear" w:color="auto" w:fill="8EAADB" w:themeFill="accent1" w:themeFillTint="99"/>
            <w:noWrap/>
            <w:vAlign w:val="bottom"/>
            <w:hideMark/>
          </w:tcPr>
          <w:p w14:paraId="406EFD3E"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4.8dB</w:t>
            </w:r>
          </w:p>
        </w:tc>
        <w:tc>
          <w:tcPr>
            <w:tcW w:w="1033" w:type="dxa"/>
            <w:tcBorders>
              <w:top w:val="nil"/>
              <w:left w:val="nil"/>
              <w:bottom w:val="single" w:sz="4" w:space="0" w:color="auto"/>
              <w:right w:val="single" w:sz="4" w:space="0" w:color="auto"/>
            </w:tcBorders>
            <w:shd w:val="clear" w:color="auto" w:fill="8EAADB" w:themeFill="accent1" w:themeFillTint="99"/>
            <w:noWrap/>
            <w:vAlign w:val="bottom"/>
            <w:hideMark/>
          </w:tcPr>
          <w:p w14:paraId="7CF60A49"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6dB</w:t>
            </w:r>
          </w:p>
        </w:tc>
      </w:tr>
      <w:tr w:rsidR="003D2355" w:rsidRPr="003D2355" w14:paraId="6799B186"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AFEBE74"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w:t>
            </w:r>
          </w:p>
        </w:tc>
        <w:tc>
          <w:tcPr>
            <w:tcW w:w="828" w:type="dxa"/>
            <w:tcBorders>
              <w:top w:val="nil"/>
              <w:left w:val="nil"/>
              <w:bottom w:val="single" w:sz="4" w:space="0" w:color="auto"/>
              <w:right w:val="single" w:sz="4" w:space="0" w:color="auto"/>
            </w:tcBorders>
            <w:shd w:val="clear" w:color="auto" w:fill="auto"/>
            <w:noWrap/>
            <w:vAlign w:val="bottom"/>
            <w:hideMark/>
          </w:tcPr>
          <w:p w14:paraId="59DD2DF9"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1    </w:t>
            </w:r>
          </w:p>
        </w:tc>
        <w:tc>
          <w:tcPr>
            <w:tcW w:w="940" w:type="dxa"/>
            <w:tcBorders>
              <w:top w:val="nil"/>
              <w:left w:val="nil"/>
              <w:bottom w:val="single" w:sz="4" w:space="0" w:color="auto"/>
              <w:right w:val="single" w:sz="4" w:space="0" w:color="auto"/>
            </w:tcBorders>
            <w:shd w:val="clear" w:color="auto" w:fill="auto"/>
            <w:noWrap/>
            <w:vAlign w:val="bottom"/>
            <w:hideMark/>
          </w:tcPr>
          <w:p w14:paraId="15398E63"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1.25</w:t>
            </w:r>
          </w:p>
        </w:tc>
        <w:tc>
          <w:tcPr>
            <w:tcW w:w="1722" w:type="dxa"/>
            <w:tcBorders>
              <w:top w:val="nil"/>
              <w:left w:val="nil"/>
              <w:bottom w:val="single" w:sz="4" w:space="0" w:color="auto"/>
              <w:right w:val="single" w:sz="4" w:space="0" w:color="auto"/>
            </w:tcBorders>
            <w:shd w:val="clear" w:color="auto" w:fill="auto"/>
            <w:noWrap/>
            <w:vAlign w:val="bottom"/>
            <w:hideMark/>
          </w:tcPr>
          <w:p w14:paraId="5C183924"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4    </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2854F75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6.02</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5EA28A1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9.02</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1C98965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10.82</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24CD0085"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12.02</w:t>
            </w:r>
          </w:p>
        </w:tc>
      </w:tr>
      <w:tr w:rsidR="003D2355" w:rsidRPr="003D2355" w14:paraId="6E42572B"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E3C5F43"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w:t>
            </w:r>
          </w:p>
        </w:tc>
        <w:tc>
          <w:tcPr>
            <w:tcW w:w="828" w:type="dxa"/>
            <w:tcBorders>
              <w:top w:val="nil"/>
              <w:left w:val="nil"/>
              <w:bottom w:val="single" w:sz="4" w:space="0" w:color="auto"/>
              <w:right w:val="single" w:sz="4" w:space="0" w:color="auto"/>
            </w:tcBorders>
            <w:shd w:val="clear" w:color="auto" w:fill="auto"/>
            <w:noWrap/>
            <w:vAlign w:val="bottom"/>
            <w:hideMark/>
          </w:tcPr>
          <w:p w14:paraId="3D1F514D"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1/2</w:t>
            </w:r>
          </w:p>
        </w:tc>
        <w:tc>
          <w:tcPr>
            <w:tcW w:w="940" w:type="dxa"/>
            <w:tcBorders>
              <w:top w:val="nil"/>
              <w:left w:val="nil"/>
              <w:bottom w:val="single" w:sz="4" w:space="0" w:color="auto"/>
              <w:right w:val="single" w:sz="4" w:space="0" w:color="auto"/>
            </w:tcBorders>
            <w:shd w:val="clear" w:color="auto" w:fill="auto"/>
            <w:noWrap/>
            <w:vAlign w:val="bottom"/>
            <w:hideMark/>
          </w:tcPr>
          <w:p w14:paraId="757EC725"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1/2</w:t>
            </w:r>
          </w:p>
        </w:tc>
        <w:tc>
          <w:tcPr>
            <w:tcW w:w="1722" w:type="dxa"/>
            <w:tcBorders>
              <w:top w:val="nil"/>
              <w:left w:val="nil"/>
              <w:bottom w:val="single" w:sz="4" w:space="0" w:color="auto"/>
              <w:right w:val="single" w:sz="4" w:space="0" w:color="auto"/>
            </w:tcBorders>
            <w:shd w:val="clear" w:color="auto" w:fill="auto"/>
            <w:noWrap/>
            <w:vAlign w:val="bottom"/>
            <w:hideMark/>
          </w:tcPr>
          <w:p w14:paraId="1BAABDE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2    </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0044B45F"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3.01</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66C8456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6.01</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2C1A5BC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7.81</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0A40AD3B"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9.01</w:t>
            </w:r>
          </w:p>
        </w:tc>
      </w:tr>
      <w:tr w:rsidR="003D2355" w:rsidRPr="003D2355" w14:paraId="0D4DC8C7"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217094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2</w:t>
            </w:r>
          </w:p>
        </w:tc>
        <w:tc>
          <w:tcPr>
            <w:tcW w:w="828" w:type="dxa"/>
            <w:tcBorders>
              <w:top w:val="nil"/>
              <w:left w:val="nil"/>
              <w:bottom w:val="single" w:sz="4" w:space="0" w:color="auto"/>
              <w:right w:val="single" w:sz="4" w:space="0" w:color="auto"/>
            </w:tcBorders>
            <w:shd w:val="clear" w:color="auto" w:fill="auto"/>
            <w:noWrap/>
            <w:vAlign w:val="bottom"/>
            <w:hideMark/>
          </w:tcPr>
          <w:p w14:paraId="48CCB26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1/3</w:t>
            </w:r>
          </w:p>
        </w:tc>
        <w:tc>
          <w:tcPr>
            <w:tcW w:w="940" w:type="dxa"/>
            <w:tcBorders>
              <w:top w:val="nil"/>
              <w:left w:val="nil"/>
              <w:bottom w:val="single" w:sz="4" w:space="0" w:color="auto"/>
              <w:right w:val="single" w:sz="4" w:space="0" w:color="auto"/>
            </w:tcBorders>
            <w:shd w:val="clear" w:color="auto" w:fill="auto"/>
            <w:noWrap/>
            <w:vAlign w:val="bottom"/>
            <w:hideMark/>
          </w:tcPr>
          <w:p w14:paraId="6FE4F4A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1/4</w:t>
            </w:r>
          </w:p>
        </w:tc>
        <w:tc>
          <w:tcPr>
            <w:tcW w:w="1722" w:type="dxa"/>
            <w:tcBorders>
              <w:top w:val="nil"/>
              <w:left w:val="nil"/>
              <w:bottom w:val="single" w:sz="4" w:space="0" w:color="auto"/>
              <w:right w:val="single" w:sz="4" w:space="0" w:color="auto"/>
            </w:tcBorders>
            <w:shd w:val="clear" w:color="auto" w:fill="auto"/>
            <w:noWrap/>
            <w:vAlign w:val="bottom"/>
            <w:hideMark/>
          </w:tcPr>
          <w:p w14:paraId="3D8BB13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1    </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331999E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0.00</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78327C2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3.00</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43D29FD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4.80</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024ADEB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6.00</w:t>
            </w:r>
          </w:p>
        </w:tc>
      </w:tr>
      <w:tr w:rsidR="003D2355" w:rsidRPr="003D2355" w14:paraId="4290ECC4"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C1C2EAB"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w:t>
            </w:r>
          </w:p>
        </w:tc>
        <w:tc>
          <w:tcPr>
            <w:tcW w:w="828" w:type="dxa"/>
            <w:tcBorders>
              <w:top w:val="nil"/>
              <w:left w:val="nil"/>
              <w:bottom w:val="single" w:sz="4" w:space="0" w:color="auto"/>
              <w:right w:val="single" w:sz="4" w:space="0" w:color="auto"/>
            </w:tcBorders>
            <w:shd w:val="clear" w:color="auto" w:fill="auto"/>
            <w:noWrap/>
            <w:vAlign w:val="bottom"/>
            <w:hideMark/>
          </w:tcPr>
          <w:p w14:paraId="603745A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1/4</w:t>
            </w:r>
          </w:p>
        </w:tc>
        <w:tc>
          <w:tcPr>
            <w:tcW w:w="940" w:type="dxa"/>
            <w:tcBorders>
              <w:top w:val="nil"/>
              <w:left w:val="nil"/>
              <w:bottom w:val="single" w:sz="4" w:space="0" w:color="auto"/>
              <w:right w:val="single" w:sz="4" w:space="0" w:color="auto"/>
            </w:tcBorders>
            <w:shd w:val="clear" w:color="auto" w:fill="auto"/>
            <w:noWrap/>
            <w:vAlign w:val="bottom"/>
            <w:hideMark/>
          </w:tcPr>
          <w:p w14:paraId="43790099"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1/8</w:t>
            </w:r>
          </w:p>
        </w:tc>
        <w:tc>
          <w:tcPr>
            <w:tcW w:w="1722" w:type="dxa"/>
            <w:tcBorders>
              <w:top w:val="nil"/>
              <w:left w:val="nil"/>
              <w:bottom w:val="single" w:sz="4" w:space="0" w:color="auto"/>
              <w:right w:val="single" w:sz="4" w:space="0" w:color="auto"/>
            </w:tcBorders>
            <w:shd w:val="clear" w:color="auto" w:fill="auto"/>
            <w:noWrap/>
            <w:vAlign w:val="bottom"/>
            <w:hideMark/>
          </w:tcPr>
          <w:p w14:paraId="1418C60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1/2</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1570AE5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-3.01</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1EDE00C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-0.01</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45CF8CDB"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1.79</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465B95D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2.99</w:t>
            </w:r>
          </w:p>
        </w:tc>
      </w:tr>
    </w:tbl>
    <w:p w14:paraId="0E167511" w14:textId="4B2384E7" w:rsidR="00983029" w:rsidRDefault="00983029" w:rsidP="007B0AA6">
      <w:pPr>
        <w:rPr>
          <w:b/>
          <w:lang w:val="en-GB"/>
        </w:rPr>
      </w:pPr>
    </w:p>
    <w:p w14:paraId="2CAE78A5" w14:textId="10E8B1FD" w:rsidR="00C018B6" w:rsidRDefault="00B108BB" w:rsidP="007B0AA6">
      <w:pPr>
        <w:rPr>
          <w:b/>
          <w:lang w:val="en-GB"/>
        </w:rPr>
      </w:pPr>
      <w:r>
        <w:rPr>
          <w:b/>
          <w:lang w:val="en-GB"/>
        </w:rPr>
        <w:t>Observation</w:t>
      </w:r>
      <w:r w:rsidR="000A70AE">
        <w:rPr>
          <w:b/>
          <w:lang w:val="en-GB"/>
        </w:rPr>
        <w:t xml:space="preserve"> 2</w:t>
      </w:r>
      <w:r>
        <w:rPr>
          <w:b/>
          <w:lang w:val="en-GB"/>
        </w:rPr>
        <w:t xml:space="preserve">: </w:t>
      </w:r>
      <w:r w:rsidR="00974A29">
        <w:rPr>
          <w:b/>
          <w:lang w:val="en-GB"/>
        </w:rPr>
        <w:t xml:space="preserve">It is sufficient to indicate the </w:t>
      </w:r>
      <w:r w:rsidR="00E268D4">
        <w:rPr>
          <w:b/>
          <w:lang w:val="en-GB"/>
        </w:rPr>
        <w:t xml:space="preserve">power </w:t>
      </w:r>
      <w:r w:rsidR="00974A29">
        <w:rPr>
          <w:b/>
          <w:lang w:val="en-GB"/>
        </w:rPr>
        <w:t xml:space="preserve">offset of a neighbour cell’s RSS with respect to </w:t>
      </w:r>
      <w:r w:rsidR="00E268D4">
        <w:rPr>
          <w:b/>
          <w:lang w:val="en-GB"/>
        </w:rPr>
        <w:t>the neighbour cell’s CRS, for a UE to perform RSS-based measurements.</w:t>
      </w:r>
      <w:r w:rsidR="009849A5">
        <w:rPr>
          <w:b/>
          <w:lang w:val="en-GB"/>
        </w:rPr>
        <w:t xml:space="preserve"> This reduces the range of </w:t>
      </w:r>
      <w:r w:rsidR="00E521DA">
        <w:rPr>
          <w:b/>
          <w:lang w:val="en-GB"/>
        </w:rPr>
        <w:t>values that need to be signalled.</w:t>
      </w:r>
    </w:p>
    <w:p w14:paraId="04E4AAE3" w14:textId="77777777" w:rsidR="006A292F" w:rsidRDefault="006A292F" w:rsidP="006A292F">
      <w:pPr>
        <w:rPr>
          <w:b/>
          <w:lang w:val="en-GB"/>
        </w:rPr>
      </w:pPr>
      <w:r w:rsidRPr="004902AB">
        <w:rPr>
          <w:b/>
          <w:u w:val="single"/>
          <w:lang w:val="en-GB"/>
        </w:rPr>
        <w:t xml:space="preserve">Proposal </w:t>
      </w:r>
      <w:r>
        <w:rPr>
          <w:b/>
          <w:u w:val="single"/>
          <w:lang w:val="en-GB"/>
        </w:rPr>
        <w:t>3</w:t>
      </w:r>
      <w:r w:rsidRPr="004902AB">
        <w:rPr>
          <w:b/>
          <w:lang w:val="en-GB"/>
        </w:rPr>
        <w:t xml:space="preserve">:  </w:t>
      </w:r>
      <w:r>
        <w:rPr>
          <w:b/>
          <w:lang w:val="en-GB"/>
        </w:rPr>
        <w:t>Indicate an RSS power offset relative to the CRS per neighbour cell in the neighbour cell list.</w:t>
      </w:r>
    </w:p>
    <w:p w14:paraId="4566098C" w14:textId="5AB6FA73" w:rsidR="00C018B6" w:rsidRPr="004902AB" w:rsidRDefault="00C018B6" w:rsidP="007B0AA6">
      <w:pPr>
        <w:rPr>
          <w:b/>
          <w:lang w:val="en-GB"/>
        </w:rPr>
      </w:pPr>
    </w:p>
    <w:bookmarkEnd w:id="3"/>
    <w:p w14:paraId="715D85C8" w14:textId="45F2356B" w:rsidR="00A57949" w:rsidRDefault="004902AB" w:rsidP="004902AB">
      <w:pPr>
        <w:pStyle w:val="Heading1"/>
      </w:pPr>
      <w:r>
        <w:t>Summary</w:t>
      </w:r>
    </w:p>
    <w:p w14:paraId="4182C960" w14:textId="5A4358CA" w:rsidR="00953715" w:rsidRPr="00C14358" w:rsidRDefault="00953715" w:rsidP="00953715">
      <w:pPr>
        <w:rPr>
          <w:b/>
          <w:lang w:val="en-GB"/>
        </w:rPr>
      </w:pPr>
      <w:r w:rsidRPr="00363501">
        <w:rPr>
          <w:b/>
          <w:u w:val="single"/>
          <w:lang w:val="en-GB"/>
        </w:rPr>
        <w:t xml:space="preserve">Observation </w:t>
      </w:r>
      <w:r>
        <w:rPr>
          <w:b/>
          <w:u w:val="single"/>
          <w:lang w:val="en-GB"/>
        </w:rPr>
        <w:t>1</w:t>
      </w:r>
      <w:r w:rsidRPr="00363501">
        <w:rPr>
          <w:b/>
          <w:lang w:val="en-GB"/>
        </w:rPr>
        <w:t xml:space="preserve">: </w:t>
      </w:r>
      <w:r>
        <w:rPr>
          <w:b/>
          <w:lang w:val="en-GB"/>
        </w:rPr>
        <w:t>Option 2 provides additional scheduling flexibility for the RSS on top of Option 1, at the expense of limited additional signalling.</w:t>
      </w:r>
    </w:p>
    <w:p w14:paraId="6A53393A" w14:textId="77777777" w:rsidR="006A292F" w:rsidRDefault="000A70AE" w:rsidP="006A292F">
      <w:pPr>
        <w:spacing w:after="0"/>
        <w:rPr>
          <w:b/>
          <w:lang w:val="en-GB"/>
        </w:rPr>
      </w:pPr>
      <w:r w:rsidRPr="004902AB">
        <w:rPr>
          <w:b/>
          <w:u w:val="single"/>
          <w:lang w:val="en-GB"/>
        </w:rPr>
        <w:t>Proposal 1</w:t>
      </w:r>
      <w:r w:rsidRPr="004902AB">
        <w:rPr>
          <w:b/>
          <w:lang w:val="en-GB"/>
        </w:rPr>
        <w:t>:  The RSS time</w:t>
      </w:r>
      <w:r>
        <w:rPr>
          <w:b/>
          <w:lang w:val="en-GB"/>
        </w:rPr>
        <w:t>-</w:t>
      </w:r>
      <w:r w:rsidRPr="004902AB">
        <w:rPr>
          <w:b/>
          <w:lang w:val="en-GB"/>
        </w:rPr>
        <w:t>offset (</w:t>
      </w:r>
      <w:r w:rsidRPr="004902AB">
        <w:rPr>
          <w:b/>
          <w:i/>
          <w:lang w:val="en-GB"/>
        </w:rPr>
        <w:t>ce-rss-timeOffset-config</w:t>
      </w:r>
      <w:r w:rsidRPr="004902AB">
        <w:rPr>
          <w:b/>
          <w:lang w:val="en-GB"/>
        </w:rPr>
        <w:t>) and RSS frequency</w:t>
      </w:r>
      <w:r>
        <w:rPr>
          <w:b/>
          <w:lang w:val="en-GB"/>
        </w:rPr>
        <w:t>-</w:t>
      </w:r>
      <w:r w:rsidRPr="004902AB">
        <w:rPr>
          <w:b/>
          <w:lang w:val="en-GB"/>
        </w:rPr>
        <w:t>location (</w:t>
      </w:r>
      <w:r w:rsidRPr="004902AB">
        <w:rPr>
          <w:b/>
          <w:i/>
          <w:lang w:eastAsia="ja-JP"/>
        </w:rPr>
        <w:t>ce-rss-freqPos-config</w:t>
      </w:r>
      <w:r w:rsidRPr="004902AB">
        <w:rPr>
          <w:b/>
          <w:lang w:val="en-GB"/>
        </w:rPr>
        <w:t xml:space="preserve">) </w:t>
      </w:r>
      <w:r>
        <w:rPr>
          <w:b/>
          <w:lang w:val="en-GB"/>
        </w:rPr>
        <w:t>are determined based on “(</w:t>
      </w:r>
      <w:r w:rsidRPr="004902AB">
        <w:rPr>
          <w:b/>
          <w:lang w:val="en-GB"/>
        </w:rPr>
        <w:t>Cell ID</w:t>
      </w:r>
      <w:r>
        <w:rPr>
          <w:b/>
          <w:lang w:val="en-GB"/>
        </w:rPr>
        <w:t xml:space="preserve"> mod 32)</w:t>
      </w:r>
      <w:r w:rsidRPr="004902AB">
        <w:rPr>
          <w:b/>
          <w:lang w:val="en-GB"/>
        </w:rPr>
        <w:t xml:space="preserve"> </w:t>
      </w:r>
      <w:r>
        <w:rPr>
          <w:b/>
          <w:lang w:val="en-GB"/>
        </w:rPr>
        <w:t>+/- delta-time-Offset” and “(Cell ID mod 99) +/- delta-freq_offset” with “delta_freq-Offset” and “delta_time-Offset” signalled together with the neighbour cell list</w:t>
      </w:r>
      <w:r w:rsidRPr="004902AB">
        <w:rPr>
          <w:b/>
          <w:lang w:val="en-GB"/>
        </w:rPr>
        <w:t xml:space="preserve">. </w:t>
      </w:r>
    </w:p>
    <w:p w14:paraId="7EA0DE05" w14:textId="07BF9E28" w:rsidR="000A70AE" w:rsidRDefault="000A70AE" w:rsidP="006A292F">
      <w:pPr>
        <w:pStyle w:val="ListParagraph"/>
        <w:numPr>
          <w:ilvl w:val="0"/>
          <w:numId w:val="19"/>
        </w:numPr>
        <w:rPr>
          <w:rFonts w:ascii="Times New Roman" w:eastAsia="SimSun" w:hAnsi="Times New Roman"/>
          <w:b/>
          <w:sz w:val="20"/>
          <w:szCs w:val="20"/>
          <w:lang w:val="en-GB"/>
        </w:rPr>
      </w:pPr>
      <w:r w:rsidRPr="006A292F">
        <w:rPr>
          <w:rFonts w:ascii="Times New Roman" w:eastAsia="SimSun" w:hAnsi="Times New Roman"/>
          <w:b/>
          <w:sz w:val="20"/>
          <w:szCs w:val="20"/>
          <w:lang w:val="en-GB"/>
        </w:rPr>
        <w:t>FFS ranges of “delta_freq-Offset” and “delta_time-Offset”</w:t>
      </w:r>
    </w:p>
    <w:p w14:paraId="5D231682" w14:textId="77777777" w:rsidR="006A292F" w:rsidRPr="006A292F" w:rsidRDefault="006A292F" w:rsidP="006A292F">
      <w:pPr>
        <w:pStyle w:val="ListParagraph"/>
        <w:rPr>
          <w:rFonts w:ascii="Times New Roman" w:eastAsia="SimSun" w:hAnsi="Times New Roman"/>
          <w:b/>
          <w:sz w:val="20"/>
          <w:szCs w:val="20"/>
          <w:lang w:val="en-GB"/>
        </w:rPr>
      </w:pPr>
    </w:p>
    <w:p w14:paraId="5A79BD16" w14:textId="77777777" w:rsidR="00733055" w:rsidRDefault="00733055" w:rsidP="00733055">
      <w:pPr>
        <w:rPr>
          <w:b/>
          <w:lang w:val="en-GB"/>
        </w:rPr>
      </w:pPr>
      <w:r w:rsidRPr="004902AB">
        <w:rPr>
          <w:b/>
          <w:u w:val="single"/>
          <w:lang w:val="en-GB"/>
        </w:rPr>
        <w:t xml:space="preserve">Proposal </w:t>
      </w:r>
      <w:r>
        <w:rPr>
          <w:b/>
          <w:u w:val="single"/>
          <w:lang w:val="en-GB"/>
        </w:rPr>
        <w:t>2</w:t>
      </w:r>
      <w:r w:rsidRPr="004902AB">
        <w:rPr>
          <w:b/>
          <w:lang w:val="en-GB"/>
        </w:rPr>
        <w:t xml:space="preserve">:  The </w:t>
      </w:r>
      <w:r>
        <w:rPr>
          <w:b/>
          <w:lang w:val="en-GB"/>
        </w:rPr>
        <w:t>number of CRS ports per neighbour cell is not derived from PBCH decoding.</w:t>
      </w:r>
    </w:p>
    <w:p w14:paraId="12CD6424" w14:textId="77777777" w:rsidR="000A70AE" w:rsidRDefault="000A70AE" w:rsidP="000A70AE">
      <w:pPr>
        <w:rPr>
          <w:b/>
          <w:lang w:val="en-GB"/>
        </w:rPr>
      </w:pPr>
      <w:r>
        <w:rPr>
          <w:b/>
          <w:lang w:val="en-GB"/>
        </w:rPr>
        <w:lastRenderedPageBreak/>
        <w:t>Observation 2: It is sufficient to indicate the power offset of a neighbour cell’s RSS with respect to the neighbour cell’s CRS, for a UE to perform RSS-based measurements. This reduces the range of values that need to be signalled.</w:t>
      </w:r>
    </w:p>
    <w:p w14:paraId="6C876D27" w14:textId="21F422EE" w:rsidR="000A70AE" w:rsidRDefault="000A70AE" w:rsidP="000A70AE">
      <w:pPr>
        <w:rPr>
          <w:b/>
          <w:lang w:val="en-GB"/>
        </w:rPr>
      </w:pPr>
      <w:r w:rsidRPr="004902AB">
        <w:rPr>
          <w:b/>
          <w:u w:val="single"/>
          <w:lang w:val="en-GB"/>
        </w:rPr>
        <w:t xml:space="preserve">Proposal </w:t>
      </w:r>
      <w:r>
        <w:rPr>
          <w:b/>
          <w:u w:val="single"/>
          <w:lang w:val="en-GB"/>
        </w:rPr>
        <w:t>3</w:t>
      </w:r>
      <w:r w:rsidRPr="004902AB">
        <w:rPr>
          <w:b/>
          <w:lang w:val="en-GB"/>
        </w:rPr>
        <w:t xml:space="preserve">:  </w:t>
      </w:r>
      <w:r w:rsidR="006A292F">
        <w:rPr>
          <w:b/>
          <w:lang w:val="en-GB"/>
        </w:rPr>
        <w:t>I</w:t>
      </w:r>
      <w:r>
        <w:rPr>
          <w:b/>
          <w:lang w:val="en-GB"/>
        </w:rPr>
        <w:t xml:space="preserve">ndicate an RSS power offset relative to the CRS </w:t>
      </w:r>
      <w:r w:rsidR="006A292F">
        <w:rPr>
          <w:b/>
          <w:lang w:val="en-GB"/>
        </w:rPr>
        <w:t>per</w:t>
      </w:r>
      <w:r>
        <w:rPr>
          <w:b/>
          <w:lang w:val="en-GB"/>
        </w:rPr>
        <w:t xml:space="preserve"> neighbour cell </w:t>
      </w:r>
      <w:r w:rsidR="006A292F">
        <w:rPr>
          <w:b/>
          <w:lang w:val="en-GB"/>
        </w:rPr>
        <w:t>in the neighbour cell list</w:t>
      </w:r>
      <w:r>
        <w:rPr>
          <w:b/>
          <w:lang w:val="en-GB"/>
        </w:rPr>
        <w:t>.</w:t>
      </w:r>
    </w:p>
    <w:p w14:paraId="2349AD09" w14:textId="77777777" w:rsidR="007B1177" w:rsidRPr="004902AB" w:rsidRDefault="007B1177" w:rsidP="007B0AA6">
      <w:pPr>
        <w:rPr>
          <w:b/>
          <w:lang w:val="en-GB"/>
        </w:rPr>
      </w:pPr>
    </w:p>
    <w:p w14:paraId="2BE243CA" w14:textId="77777777" w:rsidR="00A57949" w:rsidRDefault="00A57949" w:rsidP="00A57949">
      <w:pPr>
        <w:pStyle w:val="Heading1"/>
      </w:pPr>
      <w:r>
        <w:t>References</w:t>
      </w:r>
    </w:p>
    <w:p w14:paraId="224F7939" w14:textId="2CAFE2AD" w:rsidR="00861BAB" w:rsidRDefault="00C3427F" w:rsidP="003A108D">
      <w:pPr>
        <w:spacing w:after="120"/>
      </w:pPr>
      <w:r>
        <w:t xml:space="preserve">[1] </w:t>
      </w:r>
      <w:r w:rsidR="003A108D" w:rsidRPr="00BE58CF">
        <w:rPr>
          <w:rFonts w:eastAsia="Times New Roman"/>
          <w:szCs w:val="16"/>
        </w:rPr>
        <w:t>3GPP RAN1#98, Chairman’s notes, August 2019</w:t>
      </w:r>
      <w:r>
        <w:t>.</w:t>
      </w:r>
    </w:p>
    <w:p w14:paraId="26793098" w14:textId="0DA5D21D" w:rsidR="003A108D" w:rsidRDefault="003A108D">
      <w:r>
        <w:t>[2] R1-1908026, “Use of RSS for measurement improvements in LTE-MTC”, by Ericsson, RAN1#98, Prague, CZ</w:t>
      </w:r>
    </w:p>
    <w:sectPr w:rsidR="003A108D" w:rsidSect="00A57949">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BF7D9" w14:textId="77777777" w:rsidR="00346F25" w:rsidRDefault="00346F25" w:rsidP="00A57949">
      <w:pPr>
        <w:spacing w:after="0"/>
      </w:pPr>
      <w:r>
        <w:separator/>
      </w:r>
    </w:p>
  </w:endnote>
  <w:endnote w:type="continuationSeparator" w:id="0">
    <w:p w14:paraId="64E370EC" w14:textId="77777777" w:rsidR="00346F25" w:rsidRDefault="00346F25" w:rsidP="00A579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25AAE" w14:textId="77777777" w:rsidR="00B370F7" w:rsidRDefault="0074719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BD9E39" w14:textId="77777777" w:rsidR="00B370F7" w:rsidRDefault="00346F2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F7A5D" w14:textId="77777777" w:rsidR="00B370F7" w:rsidRDefault="0074719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2B404" w14:textId="77777777" w:rsidR="00346F25" w:rsidRDefault="00346F25" w:rsidP="00A57949">
      <w:pPr>
        <w:spacing w:after="0"/>
      </w:pPr>
      <w:r>
        <w:separator/>
      </w:r>
    </w:p>
  </w:footnote>
  <w:footnote w:type="continuationSeparator" w:id="0">
    <w:p w14:paraId="210A3444" w14:textId="77777777" w:rsidR="00346F25" w:rsidRDefault="00346F25" w:rsidP="00A579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BC0E0" w14:textId="77777777" w:rsidR="00B370F7" w:rsidRDefault="0074719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93DBE"/>
    <w:multiLevelType w:val="hybridMultilevel"/>
    <w:tmpl w:val="F232FA72"/>
    <w:lvl w:ilvl="0" w:tplc="6F6274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1A64DF"/>
    <w:multiLevelType w:val="hybridMultilevel"/>
    <w:tmpl w:val="16A03F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3F1DE6"/>
    <w:multiLevelType w:val="hybridMultilevel"/>
    <w:tmpl w:val="602E466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73A27"/>
    <w:multiLevelType w:val="hybridMultilevel"/>
    <w:tmpl w:val="56124ED6"/>
    <w:lvl w:ilvl="0" w:tplc="3AC4E92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894477"/>
    <w:multiLevelType w:val="hybridMultilevel"/>
    <w:tmpl w:val="73506470"/>
    <w:lvl w:ilvl="0" w:tplc="735899B6">
      <w:start w:val="1"/>
      <w:numFmt w:val="bullet"/>
      <w:lvlText w:val="•"/>
      <w:lvlJc w:val="left"/>
      <w:pPr>
        <w:tabs>
          <w:tab w:val="num" w:pos="720"/>
        </w:tabs>
        <w:ind w:left="720" w:hanging="360"/>
      </w:pPr>
      <w:rPr>
        <w:rFonts w:ascii="Arial" w:hAnsi="Arial" w:hint="default"/>
      </w:rPr>
    </w:lvl>
    <w:lvl w:ilvl="1" w:tplc="503C6A98">
      <w:numFmt w:val="none"/>
      <w:lvlText w:val=""/>
      <w:lvlJc w:val="left"/>
      <w:pPr>
        <w:tabs>
          <w:tab w:val="num" w:pos="360"/>
        </w:tabs>
      </w:pPr>
    </w:lvl>
    <w:lvl w:ilvl="2" w:tplc="A4D85B80">
      <w:start w:val="1"/>
      <w:numFmt w:val="bullet"/>
      <w:lvlText w:val="•"/>
      <w:lvlJc w:val="left"/>
      <w:pPr>
        <w:tabs>
          <w:tab w:val="num" w:pos="2160"/>
        </w:tabs>
        <w:ind w:left="2160" w:hanging="360"/>
      </w:pPr>
      <w:rPr>
        <w:rFonts w:ascii="Arial" w:hAnsi="Arial" w:hint="default"/>
      </w:rPr>
    </w:lvl>
    <w:lvl w:ilvl="3" w:tplc="B79E9D5A" w:tentative="1">
      <w:start w:val="1"/>
      <w:numFmt w:val="bullet"/>
      <w:lvlText w:val="•"/>
      <w:lvlJc w:val="left"/>
      <w:pPr>
        <w:tabs>
          <w:tab w:val="num" w:pos="2880"/>
        </w:tabs>
        <w:ind w:left="2880" w:hanging="360"/>
      </w:pPr>
      <w:rPr>
        <w:rFonts w:ascii="Arial" w:hAnsi="Arial" w:hint="default"/>
      </w:rPr>
    </w:lvl>
    <w:lvl w:ilvl="4" w:tplc="F9D4FCE2" w:tentative="1">
      <w:start w:val="1"/>
      <w:numFmt w:val="bullet"/>
      <w:lvlText w:val="•"/>
      <w:lvlJc w:val="left"/>
      <w:pPr>
        <w:tabs>
          <w:tab w:val="num" w:pos="3600"/>
        </w:tabs>
        <w:ind w:left="3600" w:hanging="360"/>
      </w:pPr>
      <w:rPr>
        <w:rFonts w:ascii="Arial" w:hAnsi="Arial" w:hint="default"/>
      </w:rPr>
    </w:lvl>
    <w:lvl w:ilvl="5" w:tplc="33603870" w:tentative="1">
      <w:start w:val="1"/>
      <w:numFmt w:val="bullet"/>
      <w:lvlText w:val="•"/>
      <w:lvlJc w:val="left"/>
      <w:pPr>
        <w:tabs>
          <w:tab w:val="num" w:pos="4320"/>
        </w:tabs>
        <w:ind w:left="4320" w:hanging="360"/>
      </w:pPr>
      <w:rPr>
        <w:rFonts w:ascii="Arial" w:hAnsi="Arial" w:hint="default"/>
      </w:rPr>
    </w:lvl>
    <w:lvl w:ilvl="6" w:tplc="6AF83416" w:tentative="1">
      <w:start w:val="1"/>
      <w:numFmt w:val="bullet"/>
      <w:lvlText w:val="•"/>
      <w:lvlJc w:val="left"/>
      <w:pPr>
        <w:tabs>
          <w:tab w:val="num" w:pos="5040"/>
        </w:tabs>
        <w:ind w:left="5040" w:hanging="360"/>
      </w:pPr>
      <w:rPr>
        <w:rFonts w:ascii="Arial" w:hAnsi="Arial" w:hint="default"/>
      </w:rPr>
    </w:lvl>
    <w:lvl w:ilvl="7" w:tplc="BE4AC5BC" w:tentative="1">
      <w:start w:val="1"/>
      <w:numFmt w:val="bullet"/>
      <w:lvlText w:val="•"/>
      <w:lvlJc w:val="left"/>
      <w:pPr>
        <w:tabs>
          <w:tab w:val="num" w:pos="5760"/>
        </w:tabs>
        <w:ind w:left="5760" w:hanging="360"/>
      </w:pPr>
      <w:rPr>
        <w:rFonts w:ascii="Arial" w:hAnsi="Arial" w:hint="default"/>
      </w:rPr>
    </w:lvl>
    <w:lvl w:ilvl="8" w:tplc="719E32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5E3E35DE"/>
    <w:multiLevelType w:val="hybridMultilevel"/>
    <w:tmpl w:val="7C322EA6"/>
    <w:lvl w:ilvl="0" w:tplc="EC28685C">
      <w:start w:val="1"/>
      <w:numFmt w:val="bullet"/>
      <w:lvlText w:val="−"/>
      <w:lvlJc w:val="left"/>
      <w:pPr>
        <w:tabs>
          <w:tab w:val="num" w:pos="720"/>
        </w:tabs>
        <w:ind w:left="720" w:hanging="360"/>
      </w:pPr>
      <w:rPr>
        <w:rFonts w:ascii="Calibre Regular" w:hAnsi="Calibre Regular" w:hint="default"/>
      </w:rPr>
    </w:lvl>
    <w:lvl w:ilvl="1" w:tplc="2F0E8154">
      <w:start w:val="1"/>
      <w:numFmt w:val="bullet"/>
      <w:lvlText w:val="−"/>
      <w:lvlJc w:val="left"/>
      <w:pPr>
        <w:tabs>
          <w:tab w:val="num" w:pos="1440"/>
        </w:tabs>
        <w:ind w:left="1440" w:hanging="360"/>
      </w:pPr>
      <w:rPr>
        <w:rFonts w:ascii="Calibre Regular" w:hAnsi="Calibre Regular" w:hint="default"/>
      </w:rPr>
    </w:lvl>
    <w:lvl w:ilvl="2" w:tplc="D1B0D136" w:tentative="1">
      <w:start w:val="1"/>
      <w:numFmt w:val="bullet"/>
      <w:lvlText w:val="−"/>
      <w:lvlJc w:val="left"/>
      <w:pPr>
        <w:tabs>
          <w:tab w:val="num" w:pos="2160"/>
        </w:tabs>
        <w:ind w:left="2160" w:hanging="360"/>
      </w:pPr>
      <w:rPr>
        <w:rFonts w:ascii="Calibre Regular" w:hAnsi="Calibre Regular" w:hint="default"/>
      </w:rPr>
    </w:lvl>
    <w:lvl w:ilvl="3" w:tplc="ABD0FE0E" w:tentative="1">
      <w:start w:val="1"/>
      <w:numFmt w:val="bullet"/>
      <w:lvlText w:val="−"/>
      <w:lvlJc w:val="left"/>
      <w:pPr>
        <w:tabs>
          <w:tab w:val="num" w:pos="2880"/>
        </w:tabs>
        <w:ind w:left="2880" w:hanging="360"/>
      </w:pPr>
      <w:rPr>
        <w:rFonts w:ascii="Calibre Regular" w:hAnsi="Calibre Regular" w:hint="default"/>
      </w:rPr>
    </w:lvl>
    <w:lvl w:ilvl="4" w:tplc="F7AC417C" w:tentative="1">
      <w:start w:val="1"/>
      <w:numFmt w:val="bullet"/>
      <w:lvlText w:val="−"/>
      <w:lvlJc w:val="left"/>
      <w:pPr>
        <w:tabs>
          <w:tab w:val="num" w:pos="3600"/>
        </w:tabs>
        <w:ind w:left="3600" w:hanging="360"/>
      </w:pPr>
      <w:rPr>
        <w:rFonts w:ascii="Calibre Regular" w:hAnsi="Calibre Regular" w:hint="default"/>
      </w:rPr>
    </w:lvl>
    <w:lvl w:ilvl="5" w:tplc="84145E6A" w:tentative="1">
      <w:start w:val="1"/>
      <w:numFmt w:val="bullet"/>
      <w:lvlText w:val="−"/>
      <w:lvlJc w:val="left"/>
      <w:pPr>
        <w:tabs>
          <w:tab w:val="num" w:pos="4320"/>
        </w:tabs>
        <w:ind w:left="4320" w:hanging="360"/>
      </w:pPr>
      <w:rPr>
        <w:rFonts w:ascii="Calibre Regular" w:hAnsi="Calibre Regular" w:hint="default"/>
      </w:rPr>
    </w:lvl>
    <w:lvl w:ilvl="6" w:tplc="771619DA" w:tentative="1">
      <w:start w:val="1"/>
      <w:numFmt w:val="bullet"/>
      <w:lvlText w:val="−"/>
      <w:lvlJc w:val="left"/>
      <w:pPr>
        <w:tabs>
          <w:tab w:val="num" w:pos="5040"/>
        </w:tabs>
        <w:ind w:left="5040" w:hanging="360"/>
      </w:pPr>
      <w:rPr>
        <w:rFonts w:ascii="Calibre Regular" w:hAnsi="Calibre Regular" w:hint="default"/>
      </w:rPr>
    </w:lvl>
    <w:lvl w:ilvl="7" w:tplc="342260D2" w:tentative="1">
      <w:start w:val="1"/>
      <w:numFmt w:val="bullet"/>
      <w:lvlText w:val="−"/>
      <w:lvlJc w:val="left"/>
      <w:pPr>
        <w:tabs>
          <w:tab w:val="num" w:pos="5760"/>
        </w:tabs>
        <w:ind w:left="5760" w:hanging="360"/>
      </w:pPr>
      <w:rPr>
        <w:rFonts w:ascii="Calibre Regular" w:hAnsi="Calibre Regular" w:hint="default"/>
      </w:rPr>
    </w:lvl>
    <w:lvl w:ilvl="8" w:tplc="B9E03448" w:tentative="1">
      <w:start w:val="1"/>
      <w:numFmt w:val="bullet"/>
      <w:lvlText w:val="−"/>
      <w:lvlJc w:val="left"/>
      <w:pPr>
        <w:tabs>
          <w:tab w:val="num" w:pos="6480"/>
        </w:tabs>
        <w:ind w:left="6480" w:hanging="360"/>
      </w:pPr>
      <w:rPr>
        <w:rFonts w:ascii="Calibre Regular" w:hAnsi="Calibre Regular" w:hint="default"/>
      </w:rPr>
    </w:lvl>
  </w:abstractNum>
  <w:abstractNum w:abstractNumId="11" w15:restartNumberingAfterBreak="0">
    <w:nsid w:val="5ECE625B"/>
    <w:multiLevelType w:val="hybridMultilevel"/>
    <w:tmpl w:val="9788B6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8927EAE"/>
    <w:multiLevelType w:val="hybridMultilevel"/>
    <w:tmpl w:val="47E48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28714D"/>
    <w:multiLevelType w:val="hybridMultilevel"/>
    <w:tmpl w:val="EB70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7"/>
  </w:num>
  <w:num w:numId="4">
    <w:abstractNumId w:val="13"/>
  </w:num>
  <w:num w:numId="5">
    <w:abstractNumId w:val="3"/>
  </w:num>
  <w:num w:numId="6">
    <w:abstractNumId w:val="9"/>
  </w:num>
  <w:num w:numId="7">
    <w:abstractNumId w:val="14"/>
  </w:num>
  <w:num w:numId="8">
    <w:abstractNumId w:val="2"/>
  </w:num>
  <w:num w:numId="9">
    <w:abstractNumId w:val="4"/>
  </w:num>
  <w:num w:numId="10">
    <w:abstractNumId w:val="6"/>
  </w:num>
  <w:num w:numId="11">
    <w:abstractNumId w:val="15"/>
  </w:num>
  <w:num w:numId="12">
    <w:abstractNumId w:val="1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1"/>
  </w:num>
  <w:num w:numId="16">
    <w:abstractNumId w:val="12"/>
  </w:num>
  <w:num w:numId="17">
    <w:abstractNumId w:val="7"/>
  </w:num>
  <w:num w:numId="18">
    <w:abstractNumId w:val="10"/>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949"/>
    <w:rsid w:val="000013DC"/>
    <w:rsid w:val="00010A6A"/>
    <w:rsid w:val="00022E4D"/>
    <w:rsid w:val="000248AD"/>
    <w:rsid w:val="00030A67"/>
    <w:rsid w:val="00035FFD"/>
    <w:rsid w:val="00044503"/>
    <w:rsid w:val="000511DC"/>
    <w:rsid w:val="000611E5"/>
    <w:rsid w:val="00064729"/>
    <w:rsid w:val="00074EB3"/>
    <w:rsid w:val="00076B50"/>
    <w:rsid w:val="00081321"/>
    <w:rsid w:val="00093273"/>
    <w:rsid w:val="000A70AE"/>
    <w:rsid w:val="000B2026"/>
    <w:rsid w:val="000D1C72"/>
    <w:rsid w:val="000E264F"/>
    <w:rsid w:val="000E2EB7"/>
    <w:rsid w:val="000F3A31"/>
    <w:rsid w:val="000F7A94"/>
    <w:rsid w:val="00100A94"/>
    <w:rsid w:val="001758F6"/>
    <w:rsid w:val="001A156F"/>
    <w:rsid w:val="001A49B9"/>
    <w:rsid w:val="001B1980"/>
    <w:rsid w:val="001B4434"/>
    <w:rsid w:val="001F492A"/>
    <w:rsid w:val="00202BE7"/>
    <w:rsid w:val="00217E22"/>
    <w:rsid w:val="00226AA3"/>
    <w:rsid w:val="00232B62"/>
    <w:rsid w:val="00250FA3"/>
    <w:rsid w:val="00264A74"/>
    <w:rsid w:val="00277710"/>
    <w:rsid w:val="002D063D"/>
    <w:rsid w:val="002F5436"/>
    <w:rsid w:val="002F5857"/>
    <w:rsid w:val="002F68D8"/>
    <w:rsid w:val="003311E4"/>
    <w:rsid w:val="00346F25"/>
    <w:rsid w:val="00347D7B"/>
    <w:rsid w:val="00353C07"/>
    <w:rsid w:val="00356AA1"/>
    <w:rsid w:val="00360D18"/>
    <w:rsid w:val="00363501"/>
    <w:rsid w:val="00367C6C"/>
    <w:rsid w:val="00377E1F"/>
    <w:rsid w:val="00390FB3"/>
    <w:rsid w:val="003A108D"/>
    <w:rsid w:val="003A6C3E"/>
    <w:rsid w:val="003B46A4"/>
    <w:rsid w:val="003D2355"/>
    <w:rsid w:val="003D40FB"/>
    <w:rsid w:val="003E5FF0"/>
    <w:rsid w:val="00421C77"/>
    <w:rsid w:val="00476E37"/>
    <w:rsid w:val="004902AB"/>
    <w:rsid w:val="00497FED"/>
    <w:rsid w:val="004C20E0"/>
    <w:rsid w:val="004C2A1B"/>
    <w:rsid w:val="004D30E5"/>
    <w:rsid w:val="004E0361"/>
    <w:rsid w:val="005160B8"/>
    <w:rsid w:val="00553F64"/>
    <w:rsid w:val="00570803"/>
    <w:rsid w:val="005715FA"/>
    <w:rsid w:val="00574113"/>
    <w:rsid w:val="005931F3"/>
    <w:rsid w:val="00634865"/>
    <w:rsid w:val="00635ACB"/>
    <w:rsid w:val="006405F4"/>
    <w:rsid w:val="00653555"/>
    <w:rsid w:val="006A292F"/>
    <w:rsid w:val="006D46EA"/>
    <w:rsid w:val="006E02BE"/>
    <w:rsid w:val="006F1285"/>
    <w:rsid w:val="006F721E"/>
    <w:rsid w:val="00701943"/>
    <w:rsid w:val="00703ECB"/>
    <w:rsid w:val="00706852"/>
    <w:rsid w:val="007202C2"/>
    <w:rsid w:val="007258BA"/>
    <w:rsid w:val="00733055"/>
    <w:rsid w:val="0074630E"/>
    <w:rsid w:val="00747194"/>
    <w:rsid w:val="00747723"/>
    <w:rsid w:val="00751480"/>
    <w:rsid w:val="00787370"/>
    <w:rsid w:val="0079374B"/>
    <w:rsid w:val="007B0AA6"/>
    <w:rsid w:val="007B1177"/>
    <w:rsid w:val="007B21A2"/>
    <w:rsid w:val="007D28B8"/>
    <w:rsid w:val="007D59E3"/>
    <w:rsid w:val="007E7E02"/>
    <w:rsid w:val="007F56B5"/>
    <w:rsid w:val="008070E5"/>
    <w:rsid w:val="0082048E"/>
    <w:rsid w:val="00827D2D"/>
    <w:rsid w:val="00840C40"/>
    <w:rsid w:val="00847738"/>
    <w:rsid w:val="00854C62"/>
    <w:rsid w:val="00882398"/>
    <w:rsid w:val="008973B8"/>
    <w:rsid w:val="008B0D04"/>
    <w:rsid w:val="008C232A"/>
    <w:rsid w:val="008D0E57"/>
    <w:rsid w:val="008D2E9C"/>
    <w:rsid w:val="009233C1"/>
    <w:rsid w:val="00937907"/>
    <w:rsid w:val="00947A0A"/>
    <w:rsid w:val="00953715"/>
    <w:rsid w:val="0096617C"/>
    <w:rsid w:val="00970D4B"/>
    <w:rsid w:val="00974A29"/>
    <w:rsid w:val="00983029"/>
    <w:rsid w:val="009849A5"/>
    <w:rsid w:val="009B3165"/>
    <w:rsid w:val="009C2A87"/>
    <w:rsid w:val="009F55CD"/>
    <w:rsid w:val="00A05F26"/>
    <w:rsid w:val="00A176EB"/>
    <w:rsid w:val="00A35478"/>
    <w:rsid w:val="00A57949"/>
    <w:rsid w:val="00AA31F3"/>
    <w:rsid w:val="00AA3A1F"/>
    <w:rsid w:val="00AB1F1F"/>
    <w:rsid w:val="00AB5A39"/>
    <w:rsid w:val="00AC5E66"/>
    <w:rsid w:val="00AE3245"/>
    <w:rsid w:val="00B108BB"/>
    <w:rsid w:val="00B422FD"/>
    <w:rsid w:val="00B46A20"/>
    <w:rsid w:val="00B72CEF"/>
    <w:rsid w:val="00B95C55"/>
    <w:rsid w:val="00B97E56"/>
    <w:rsid w:val="00BA7A36"/>
    <w:rsid w:val="00BB2624"/>
    <w:rsid w:val="00BF27BB"/>
    <w:rsid w:val="00BF59CC"/>
    <w:rsid w:val="00BF6C00"/>
    <w:rsid w:val="00C018B6"/>
    <w:rsid w:val="00C14358"/>
    <w:rsid w:val="00C14D71"/>
    <w:rsid w:val="00C3427F"/>
    <w:rsid w:val="00C43BC5"/>
    <w:rsid w:val="00C44BB2"/>
    <w:rsid w:val="00C708DE"/>
    <w:rsid w:val="00CC0743"/>
    <w:rsid w:val="00CF3D9B"/>
    <w:rsid w:val="00D015C8"/>
    <w:rsid w:val="00D033AF"/>
    <w:rsid w:val="00D1199D"/>
    <w:rsid w:val="00D17BB6"/>
    <w:rsid w:val="00D31A9A"/>
    <w:rsid w:val="00D35B0D"/>
    <w:rsid w:val="00D82613"/>
    <w:rsid w:val="00D97C2A"/>
    <w:rsid w:val="00DC3FD8"/>
    <w:rsid w:val="00E10339"/>
    <w:rsid w:val="00E268D4"/>
    <w:rsid w:val="00E279C1"/>
    <w:rsid w:val="00E42A57"/>
    <w:rsid w:val="00E521DA"/>
    <w:rsid w:val="00E53E74"/>
    <w:rsid w:val="00E95705"/>
    <w:rsid w:val="00EE6A63"/>
    <w:rsid w:val="00F2211B"/>
    <w:rsid w:val="00F22477"/>
    <w:rsid w:val="00F2329E"/>
    <w:rsid w:val="00F54807"/>
    <w:rsid w:val="00F81CF0"/>
    <w:rsid w:val="00F9511B"/>
    <w:rsid w:val="00FA40A3"/>
    <w:rsid w:val="00FA7483"/>
    <w:rsid w:val="00FC38EB"/>
    <w:rsid w:val="00FF5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D2219"/>
  <w15:chartTrackingRefBased/>
  <w15:docId w15:val="{F39D1520-A653-43A3-8B60-214703A7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D30E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A5794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57949"/>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A57949"/>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A57949"/>
    <w:pPr>
      <w:numPr>
        <w:ilvl w:val="3"/>
      </w:numPr>
      <w:tabs>
        <w:tab w:val="num" w:pos="360"/>
      </w:tabs>
      <w:outlineLvl w:val="3"/>
    </w:pPr>
    <w:rPr>
      <w:sz w:val="24"/>
    </w:rPr>
  </w:style>
  <w:style w:type="paragraph" w:styleId="Heading5">
    <w:name w:val="heading 5"/>
    <w:basedOn w:val="Heading4"/>
    <w:next w:val="Normal"/>
    <w:link w:val="Heading5Char"/>
    <w:qFormat/>
    <w:rsid w:val="00A57949"/>
    <w:pPr>
      <w:numPr>
        <w:ilvl w:val="4"/>
      </w:numPr>
      <w:tabs>
        <w:tab w:val="num" w:pos="360"/>
      </w:tabs>
      <w:outlineLvl w:val="4"/>
    </w:pPr>
    <w:rPr>
      <w:sz w:val="22"/>
    </w:rPr>
  </w:style>
  <w:style w:type="paragraph" w:styleId="Heading6">
    <w:name w:val="heading 6"/>
    <w:basedOn w:val="Normal"/>
    <w:next w:val="Normal"/>
    <w:link w:val="Heading6Char"/>
    <w:qFormat/>
    <w:rsid w:val="00A57949"/>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A57949"/>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A57949"/>
    <w:pPr>
      <w:numPr>
        <w:ilvl w:val="7"/>
      </w:numPr>
      <w:tabs>
        <w:tab w:val="num" w:pos="360"/>
      </w:tabs>
      <w:outlineLvl w:val="7"/>
    </w:pPr>
  </w:style>
  <w:style w:type="paragraph" w:styleId="Heading9">
    <w:name w:val="heading 9"/>
    <w:basedOn w:val="Heading8"/>
    <w:next w:val="Normal"/>
    <w:link w:val="Heading9Char"/>
    <w:qFormat/>
    <w:rsid w:val="00A57949"/>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5794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A57949"/>
    <w:rPr>
      <w:rFonts w:ascii="Arial" w:eastAsia="SimSun" w:hAnsi="Arial" w:cs="Times New Roman"/>
      <w:sz w:val="32"/>
      <w:szCs w:val="20"/>
      <w:lang w:val="en-GB"/>
    </w:rPr>
  </w:style>
  <w:style w:type="character" w:customStyle="1" w:styleId="Heading3Char">
    <w:name w:val="Heading 3 Char"/>
    <w:basedOn w:val="DefaultParagraphFont"/>
    <w:link w:val="Heading3"/>
    <w:rsid w:val="00A57949"/>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A57949"/>
    <w:rPr>
      <w:rFonts w:ascii="Arial" w:eastAsia="SimSun" w:hAnsi="Arial" w:cs="Times New Roman"/>
      <w:sz w:val="24"/>
      <w:szCs w:val="20"/>
      <w:lang w:val="en-GB"/>
    </w:rPr>
  </w:style>
  <w:style w:type="character" w:customStyle="1" w:styleId="Heading5Char">
    <w:name w:val="Heading 5 Char"/>
    <w:basedOn w:val="DefaultParagraphFont"/>
    <w:link w:val="Heading5"/>
    <w:rsid w:val="00A57949"/>
    <w:rPr>
      <w:rFonts w:ascii="Arial" w:eastAsia="SimSun" w:hAnsi="Arial" w:cs="Times New Roman"/>
      <w:szCs w:val="20"/>
      <w:lang w:val="en-GB"/>
    </w:rPr>
  </w:style>
  <w:style w:type="character" w:customStyle="1" w:styleId="Heading6Char">
    <w:name w:val="Heading 6 Char"/>
    <w:basedOn w:val="DefaultParagraphFont"/>
    <w:link w:val="Heading6"/>
    <w:rsid w:val="00A57949"/>
    <w:rPr>
      <w:rFonts w:ascii="Arial" w:eastAsia="SimSun" w:hAnsi="Arial" w:cs="Times New Roman"/>
      <w:sz w:val="20"/>
      <w:szCs w:val="20"/>
      <w:lang w:val="en-GB"/>
    </w:rPr>
  </w:style>
  <w:style w:type="character" w:customStyle="1" w:styleId="Heading7Char">
    <w:name w:val="Heading 7 Char"/>
    <w:basedOn w:val="DefaultParagraphFont"/>
    <w:link w:val="Heading7"/>
    <w:rsid w:val="00A57949"/>
    <w:rPr>
      <w:rFonts w:ascii="Arial" w:eastAsia="SimSun" w:hAnsi="Arial" w:cs="Times New Roman"/>
      <w:sz w:val="20"/>
      <w:szCs w:val="20"/>
      <w:lang w:val="en-GB"/>
    </w:rPr>
  </w:style>
  <w:style w:type="character" w:customStyle="1" w:styleId="Heading8Char">
    <w:name w:val="Heading 8 Char"/>
    <w:basedOn w:val="DefaultParagraphFont"/>
    <w:link w:val="Heading8"/>
    <w:rsid w:val="00A57949"/>
    <w:rPr>
      <w:rFonts w:ascii="Arial" w:eastAsia="SimSun" w:hAnsi="Arial" w:cs="Times New Roman"/>
      <w:sz w:val="36"/>
      <w:szCs w:val="20"/>
      <w:lang w:val="en-GB"/>
    </w:rPr>
  </w:style>
  <w:style w:type="character" w:customStyle="1" w:styleId="Heading9Char">
    <w:name w:val="Heading 9 Char"/>
    <w:basedOn w:val="DefaultParagraphFont"/>
    <w:link w:val="Heading9"/>
    <w:rsid w:val="00A57949"/>
    <w:rPr>
      <w:rFonts w:ascii="Arial" w:eastAsia="SimSun" w:hAnsi="Arial" w:cs="Times New Roman"/>
      <w:sz w:val="36"/>
      <w:szCs w:val="20"/>
      <w:lang w:val="en-GB"/>
    </w:rPr>
  </w:style>
  <w:style w:type="character" w:styleId="FootnoteReference">
    <w:name w:val="footnote reference"/>
    <w:semiHidden/>
    <w:rsid w:val="00A57949"/>
    <w:rPr>
      <w:b/>
      <w:position w:val="6"/>
      <w:sz w:val="16"/>
    </w:rPr>
  </w:style>
  <w:style w:type="paragraph" w:styleId="FootnoteText">
    <w:name w:val="footnote text"/>
    <w:basedOn w:val="Normal"/>
    <w:link w:val="FootnoteTextChar"/>
    <w:semiHidden/>
    <w:rsid w:val="00A57949"/>
    <w:pPr>
      <w:keepLines/>
      <w:spacing w:after="0"/>
      <w:ind w:left="454" w:hanging="454"/>
    </w:pPr>
    <w:rPr>
      <w:sz w:val="16"/>
    </w:rPr>
  </w:style>
  <w:style w:type="character" w:customStyle="1" w:styleId="FootnoteTextChar">
    <w:name w:val="Footnote Text Char"/>
    <w:basedOn w:val="DefaultParagraphFont"/>
    <w:link w:val="FootnoteText"/>
    <w:semiHidden/>
    <w:rsid w:val="00A57949"/>
    <w:rPr>
      <w:rFonts w:ascii="Times New Roman" w:eastAsia="SimSun" w:hAnsi="Times New Roman" w:cs="Times New Roman"/>
      <w:sz w:val="16"/>
      <w:szCs w:val="20"/>
    </w:rPr>
  </w:style>
  <w:style w:type="paragraph" w:styleId="Footer">
    <w:name w:val="footer"/>
    <w:basedOn w:val="Header"/>
    <w:link w:val="FooterChar"/>
    <w:rsid w:val="00A5794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A57949"/>
    <w:rPr>
      <w:rFonts w:ascii="Arial" w:eastAsia="SimSun" w:hAnsi="Arial" w:cs="Times New Roman"/>
      <w:b/>
      <w:i/>
      <w:noProof/>
      <w:sz w:val="18"/>
      <w:szCs w:val="20"/>
    </w:rPr>
  </w:style>
  <w:style w:type="paragraph" w:styleId="Caption">
    <w:name w:val="caption"/>
    <w:aliases w:val="cap"/>
    <w:basedOn w:val="Normal"/>
    <w:next w:val="Normal"/>
    <w:qFormat/>
    <w:rsid w:val="00A57949"/>
    <w:pPr>
      <w:spacing w:before="120" w:after="120"/>
    </w:pPr>
    <w:rPr>
      <w:b/>
      <w:bCs/>
    </w:rPr>
  </w:style>
  <w:style w:type="table" w:styleId="TableGrid">
    <w:name w:val="Table Grid"/>
    <w:basedOn w:val="TableNormal"/>
    <w:uiPriority w:val="59"/>
    <w:rsid w:val="00A57949"/>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57949"/>
  </w:style>
  <w:style w:type="character" w:customStyle="1" w:styleId="Heading1Char1">
    <w:name w:val="Heading 1 Char1"/>
    <w:link w:val="Heading1"/>
    <w:rsid w:val="00A57949"/>
    <w:rPr>
      <w:rFonts w:ascii="Arial" w:eastAsia="SimSun" w:hAnsi="Arial" w:cs="Times New Roman"/>
      <w:sz w:val="36"/>
      <w:szCs w:val="20"/>
      <w:lang w:val="en-GB"/>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A57949"/>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A57949"/>
    <w:rPr>
      <w:rFonts w:ascii="Calibri" w:eastAsia="Calibri" w:hAnsi="Calibri" w:cs="Times New Roman"/>
    </w:rPr>
  </w:style>
  <w:style w:type="paragraph" w:styleId="Header">
    <w:name w:val="header"/>
    <w:basedOn w:val="Normal"/>
    <w:link w:val="HeaderChar"/>
    <w:uiPriority w:val="99"/>
    <w:semiHidden/>
    <w:unhideWhenUsed/>
    <w:rsid w:val="00A57949"/>
    <w:pPr>
      <w:tabs>
        <w:tab w:val="center" w:pos="4680"/>
        <w:tab w:val="right" w:pos="9360"/>
      </w:tabs>
      <w:spacing w:after="0"/>
    </w:pPr>
  </w:style>
  <w:style w:type="character" w:customStyle="1" w:styleId="HeaderChar">
    <w:name w:val="Header Char"/>
    <w:basedOn w:val="DefaultParagraphFont"/>
    <w:link w:val="Header"/>
    <w:uiPriority w:val="99"/>
    <w:semiHidden/>
    <w:rsid w:val="00A57949"/>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0813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321"/>
    <w:rPr>
      <w:rFonts w:ascii="Segoe UI" w:eastAsia="SimSun" w:hAnsi="Segoe UI" w:cs="Segoe UI"/>
      <w:sz w:val="18"/>
      <w:szCs w:val="18"/>
    </w:rPr>
  </w:style>
  <w:style w:type="character" w:styleId="PlaceholderText">
    <w:name w:val="Placeholder Text"/>
    <w:basedOn w:val="DefaultParagraphFont"/>
    <w:uiPriority w:val="99"/>
    <w:semiHidden/>
    <w:rsid w:val="00FC38EB"/>
    <w:rPr>
      <w:color w:val="808080"/>
    </w:rPr>
  </w:style>
  <w:style w:type="paragraph" w:styleId="Revision">
    <w:name w:val="Revision"/>
    <w:hidden/>
    <w:uiPriority w:val="99"/>
    <w:semiHidden/>
    <w:rsid w:val="00703ECB"/>
    <w:pPr>
      <w:spacing w:after="0" w:line="240" w:lineRule="auto"/>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65346">
      <w:bodyDiv w:val="1"/>
      <w:marLeft w:val="0"/>
      <w:marRight w:val="0"/>
      <w:marTop w:val="0"/>
      <w:marBottom w:val="0"/>
      <w:divBdr>
        <w:top w:val="none" w:sz="0" w:space="0" w:color="auto"/>
        <w:left w:val="none" w:sz="0" w:space="0" w:color="auto"/>
        <w:bottom w:val="none" w:sz="0" w:space="0" w:color="auto"/>
        <w:right w:val="none" w:sz="0" w:space="0" w:color="auto"/>
      </w:divBdr>
    </w:div>
    <w:div w:id="140197634">
      <w:bodyDiv w:val="1"/>
      <w:marLeft w:val="0"/>
      <w:marRight w:val="0"/>
      <w:marTop w:val="0"/>
      <w:marBottom w:val="0"/>
      <w:divBdr>
        <w:top w:val="none" w:sz="0" w:space="0" w:color="auto"/>
        <w:left w:val="none" w:sz="0" w:space="0" w:color="auto"/>
        <w:bottom w:val="none" w:sz="0" w:space="0" w:color="auto"/>
        <w:right w:val="none" w:sz="0" w:space="0" w:color="auto"/>
      </w:divBdr>
    </w:div>
    <w:div w:id="706024388">
      <w:bodyDiv w:val="1"/>
      <w:marLeft w:val="0"/>
      <w:marRight w:val="0"/>
      <w:marTop w:val="0"/>
      <w:marBottom w:val="0"/>
      <w:divBdr>
        <w:top w:val="none" w:sz="0" w:space="0" w:color="auto"/>
        <w:left w:val="none" w:sz="0" w:space="0" w:color="auto"/>
        <w:bottom w:val="none" w:sz="0" w:space="0" w:color="auto"/>
        <w:right w:val="none" w:sz="0" w:space="0" w:color="auto"/>
      </w:divBdr>
      <w:divsChild>
        <w:div w:id="1234243019">
          <w:marLeft w:val="216"/>
          <w:marRight w:val="0"/>
          <w:marTop w:val="240"/>
          <w:marBottom w:val="0"/>
          <w:divBdr>
            <w:top w:val="none" w:sz="0" w:space="0" w:color="auto"/>
            <w:left w:val="none" w:sz="0" w:space="0" w:color="auto"/>
            <w:bottom w:val="none" w:sz="0" w:space="0" w:color="auto"/>
            <w:right w:val="none" w:sz="0" w:space="0" w:color="auto"/>
          </w:divBdr>
        </w:div>
        <w:div w:id="1982347061">
          <w:marLeft w:val="562"/>
          <w:marRight w:val="0"/>
          <w:marTop w:val="0"/>
          <w:marBottom w:val="0"/>
          <w:divBdr>
            <w:top w:val="none" w:sz="0" w:space="0" w:color="auto"/>
            <w:left w:val="none" w:sz="0" w:space="0" w:color="auto"/>
            <w:bottom w:val="none" w:sz="0" w:space="0" w:color="auto"/>
            <w:right w:val="none" w:sz="0" w:space="0" w:color="auto"/>
          </w:divBdr>
        </w:div>
        <w:div w:id="791096217">
          <w:marLeft w:val="562"/>
          <w:marRight w:val="0"/>
          <w:marTop w:val="0"/>
          <w:marBottom w:val="0"/>
          <w:divBdr>
            <w:top w:val="none" w:sz="0" w:space="0" w:color="auto"/>
            <w:left w:val="none" w:sz="0" w:space="0" w:color="auto"/>
            <w:bottom w:val="none" w:sz="0" w:space="0" w:color="auto"/>
            <w:right w:val="none" w:sz="0" w:space="0" w:color="auto"/>
          </w:divBdr>
        </w:div>
        <w:div w:id="775095284">
          <w:marLeft w:val="562"/>
          <w:marRight w:val="0"/>
          <w:marTop w:val="0"/>
          <w:marBottom w:val="0"/>
          <w:divBdr>
            <w:top w:val="none" w:sz="0" w:space="0" w:color="auto"/>
            <w:left w:val="none" w:sz="0" w:space="0" w:color="auto"/>
            <w:bottom w:val="none" w:sz="0" w:space="0" w:color="auto"/>
            <w:right w:val="none" w:sz="0" w:space="0" w:color="auto"/>
          </w:divBdr>
        </w:div>
        <w:div w:id="2145804116">
          <w:marLeft w:val="562"/>
          <w:marRight w:val="0"/>
          <w:marTop w:val="0"/>
          <w:marBottom w:val="0"/>
          <w:divBdr>
            <w:top w:val="none" w:sz="0" w:space="0" w:color="auto"/>
            <w:left w:val="none" w:sz="0" w:space="0" w:color="auto"/>
            <w:bottom w:val="none" w:sz="0" w:space="0" w:color="auto"/>
            <w:right w:val="none" w:sz="0" w:space="0" w:color="auto"/>
          </w:divBdr>
        </w:div>
        <w:div w:id="2109766684">
          <w:marLeft w:val="562"/>
          <w:marRight w:val="0"/>
          <w:marTop w:val="0"/>
          <w:marBottom w:val="0"/>
          <w:divBdr>
            <w:top w:val="none" w:sz="0" w:space="0" w:color="auto"/>
            <w:left w:val="none" w:sz="0" w:space="0" w:color="auto"/>
            <w:bottom w:val="none" w:sz="0" w:space="0" w:color="auto"/>
            <w:right w:val="none" w:sz="0" w:space="0" w:color="auto"/>
          </w:divBdr>
        </w:div>
      </w:divsChild>
    </w:div>
    <w:div w:id="1319386771">
      <w:bodyDiv w:val="1"/>
      <w:marLeft w:val="0"/>
      <w:marRight w:val="0"/>
      <w:marTop w:val="0"/>
      <w:marBottom w:val="0"/>
      <w:divBdr>
        <w:top w:val="none" w:sz="0" w:space="0" w:color="auto"/>
        <w:left w:val="none" w:sz="0" w:space="0" w:color="auto"/>
        <w:bottom w:val="none" w:sz="0" w:space="0" w:color="auto"/>
        <w:right w:val="none" w:sz="0" w:space="0" w:color="auto"/>
      </w:divBdr>
    </w:div>
    <w:div w:id="1631476989">
      <w:bodyDiv w:val="1"/>
      <w:marLeft w:val="0"/>
      <w:marRight w:val="0"/>
      <w:marTop w:val="0"/>
      <w:marBottom w:val="0"/>
      <w:divBdr>
        <w:top w:val="none" w:sz="0" w:space="0" w:color="auto"/>
        <w:left w:val="none" w:sz="0" w:space="0" w:color="auto"/>
        <w:bottom w:val="none" w:sz="0" w:space="0" w:color="auto"/>
        <w:right w:val="none" w:sz="0" w:space="0" w:color="auto"/>
      </w:divBdr>
    </w:div>
    <w:div w:id="1679774021">
      <w:bodyDiv w:val="1"/>
      <w:marLeft w:val="0"/>
      <w:marRight w:val="0"/>
      <w:marTop w:val="0"/>
      <w:marBottom w:val="0"/>
      <w:divBdr>
        <w:top w:val="none" w:sz="0" w:space="0" w:color="auto"/>
        <w:left w:val="none" w:sz="0" w:space="0" w:color="auto"/>
        <w:bottom w:val="none" w:sz="0" w:space="0" w:color="auto"/>
        <w:right w:val="none" w:sz="0" w:space="0" w:color="auto"/>
      </w:divBdr>
    </w:div>
    <w:div w:id="1883320931">
      <w:bodyDiv w:val="1"/>
      <w:marLeft w:val="0"/>
      <w:marRight w:val="0"/>
      <w:marTop w:val="0"/>
      <w:marBottom w:val="0"/>
      <w:divBdr>
        <w:top w:val="none" w:sz="0" w:space="0" w:color="auto"/>
        <w:left w:val="none" w:sz="0" w:space="0" w:color="auto"/>
        <w:bottom w:val="none" w:sz="0" w:space="0" w:color="auto"/>
        <w:right w:val="none" w:sz="0" w:space="0" w:color="auto"/>
      </w:divBdr>
      <w:divsChild>
        <w:div w:id="964888963">
          <w:marLeft w:val="1166"/>
          <w:marRight w:val="0"/>
          <w:marTop w:val="96"/>
          <w:marBottom w:val="0"/>
          <w:divBdr>
            <w:top w:val="none" w:sz="0" w:space="0" w:color="auto"/>
            <w:left w:val="none" w:sz="0" w:space="0" w:color="auto"/>
            <w:bottom w:val="none" w:sz="0" w:space="0" w:color="auto"/>
            <w:right w:val="none" w:sz="0" w:space="0" w:color="auto"/>
          </w:divBdr>
        </w:div>
      </w:divsChild>
    </w:div>
    <w:div w:id="2013601648">
      <w:bodyDiv w:val="1"/>
      <w:marLeft w:val="0"/>
      <w:marRight w:val="0"/>
      <w:marTop w:val="0"/>
      <w:marBottom w:val="0"/>
      <w:divBdr>
        <w:top w:val="none" w:sz="0" w:space="0" w:color="auto"/>
        <w:left w:val="none" w:sz="0" w:space="0" w:color="auto"/>
        <w:bottom w:val="none" w:sz="0" w:space="0" w:color="auto"/>
        <w:right w:val="none" w:sz="0" w:space="0" w:color="auto"/>
      </w:divBdr>
    </w:div>
    <w:div w:id="204959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C316D-711F-479D-B459-5C4EDE3BDA86}">
  <ds:schemaRefs>
    <ds:schemaRef ds:uri="http://schemas.microsoft.com/sharepoint/v3/contenttype/forms"/>
  </ds:schemaRefs>
</ds:datastoreItem>
</file>

<file path=customXml/itemProps2.xml><?xml version="1.0" encoding="utf-8"?>
<ds:datastoreItem xmlns:ds="http://schemas.openxmlformats.org/officeDocument/2006/customXml" ds:itemID="{82EAE127-CCBE-49B9-8F8A-5E4428C986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C7B7D2-26B1-433A-A7EA-AF37A75AD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BE4BE3-8D42-478D-B1F6-6E10DA033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Le Liu</cp:lastModifiedBy>
  <cp:revision>4</cp:revision>
  <dcterms:created xsi:type="dcterms:W3CDTF">2019-10-11T21:07:00Z</dcterms:created>
  <dcterms:modified xsi:type="dcterms:W3CDTF">2019-10-12T03:14:00Z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